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053853" w14:textId="77777777" w:rsidR="000150FB" w:rsidRDefault="000150FB" w:rsidP="000150FB">
      <w:pPr>
        <w:jc w:val="center"/>
      </w:pPr>
      <w:r>
        <w:rPr>
          <w:noProof/>
        </w:rPr>
        <w:drawing>
          <wp:inline distT="0" distB="0" distL="0" distR="0" wp14:anchorId="116D9CCC" wp14:editId="6978A9FD">
            <wp:extent cx="1021278" cy="1146588"/>
            <wp:effectExtent l="0" t="0" r="7620" b="0"/>
            <wp:docPr id="1" name="Pil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47248" cy="1175745"/>
                    </a:xfrm>
                    <a:prstGeom prst="rect">
                      <a:avLst/>
                    </a:prstGeom>
                    <a:noFill/>
                    <a:ln>
                      <a:noFill/>
                    </a:ln>
                  </pic:spPr>
                </pic:pic>
              </a:graphicData>
            </a:graphic>
          </wp:inline>
        </w:drawing>
      </w:r>
    </w:p>
    <w:p w14:paraId="09FF02D6" w14:textId="470E1333" w:rsidR="000150FB" w:rsidRPr="000150FB" w:rsidRDefault="000150FB" w:rsidP="000150FB">
      <w:pPr>
        <w:pStyle w:val="Pealkiri1"/>
        <w:rPr>
          <w:b/>
          <w:color w:val="00B050"/>
        </w:rPr>
      </w:pPr>
      <w:r w:rsidRPr="000150FB">
        <w:rPr>
          <w:b/>
          <w:color w:val="00B050"/>
        </w:rPr>
        <w:t>Valga Vallavalitsus</w:t>
      </w:r>
    </w:p>
    <w:p w14:paraId="32677107" w14:textId="77777777" w:rsidR="000150FB" w:rsidRDefault="000150FB" w:rsidP="000150FB">
      <w:pPr>
        <w:pStyle w:val="Pealkiri2"/>
      </w:pPr>
    </w:p>
    <w:p w14:paraId="3D5BA605" w14:textId="77777777" w:rsidR="000150FB" w:rsidRPr="000150FB" w:rsidRDefault="000150FB" w:rsidP="000150FB">
      <w:pPr>
        <w:pStyle w:val="Pealkiri2"/>
        <w:rPr>
          <w:color w:val="00B050"/>
        </w:rPr>
      </w:pPr>
    </w:p>
    <w:p w14:paraId="3BC7D353" w14:textId="0BE6DA6F" w:rsidR="000150FB" w:rsidRPr="000150FB" w:rsidRDefault="000150FB" w:rsidP="000150FB">
      <w:pPr>
        <w:pStyle w:val="Pealkiri2"/>
        <w:rPr>
          <w:color w:val="00B050"/>
        </w:rPr>
      </w:pPr>
    </w:p>
    <w:p w14:paraId="7C02FB07" w14:textId="77777777" w:rsidR="000150FB" w:rsidRPr="000150FB" w:rsidRDefault="000150FB" w:rsidP="000150FB">
      <w:pPr>
        <w:rPr>
          <w:color w:val="00B050"/>
        </w:rPr>
      </w:pPr>
    </w:p>
    <w:p w14:paraId="65EC9A4F" w14:textId="202ADEA2" w:rsidR="0007614F" w:rsidRPr="0007614F" w:rsidRDefault="0007614F" w:rsidP="0007614F">
      <w:pPr>
        <w:pStyle w:val="Pealkiri3"/>
        <w:jc w:val="center"/>
        <w:rPr>
          <w:caps/>
          <w:color w:val="00B050"/>
        </w:rPr>
      </w:pPr>
      <w:bookmarkStart w:id="0" w:name="_Hlk11835942"/>
      <w:r w:rsidRPr="0007614F">
        <w:rPr>
          <w:caps/>
          <w:color w:val="00B050"/>
        </w:rPr>
        <w:t xml:space="preserve">Valga valla </w:t>
      </w:r>
      <w:r w:rsidR="00492B32">
        <w:rPr>
          <w:caps/>
          <w:color w:val="00B050"/>
        </w:rPr>
        <w:t>korterelamute</w:t>
      </w:r>
      <w:r w:rsidRPr="0007614F">
        <w:rPr>
          <w:caps/>
          <w:color w:val="00B050"/>
        </w:rPr>
        <w:t xml:space="preserve"> uuring </w:t>
      </w:r>
      <w:r w:rsidR="00492B32">
        <w:rPr>
          <w:caps/>
          <w:color w:val="00B050"/>
        </w:rPr>
        <w:t>ja nende jätkusuutlikuse analüüs Valga valla üldplaneeringu koostamiseks</w:t>
      </w:r>
      <w:bookmarkEnd w:id="0"/>
    </w:p>
    <w:p w14:paraId="5C6CB7A7" w14:textId="77777777" w:rsidR="000150FB" w:rsidRPr="000150FB" w:rsidRDefault="000150FB" w:rsidP="000150FB">
      <w:pPr>
        <w:rPr>
          <w:color w:val="00B050"/>
        </w:rPr>
      </w:pPr>
    </w:p>
    <w:p w14:paraId="74A1FB82" w14:textId="77777777" w:rsidR="000150FB" w:rsidRPr="000150FB" w:rsidRDefault="000150FB" w:rsidP="000150FB">
      <w:pPr>
        <w:rPr>
          <w:color w:val="00B050"/>
        </w:rPr>
      </w:pPr>
    </w:p>
    <w:p w14:paraId="053A9D9F" w14:textId="1A7FB4A9" w:rsidR="000150FB" w:rsidRPr="000150FB" w:rsidRDefault="00492B32" w:rsidP="000150FB">
      <w:pPr>
        <w:pStyle w:val="Pealkiri2"/>
        <w:rPr>
          <w:b/>
          <w:color w:val="00B050"/>
        </w:rPr>
      </w:pPr>
      <w:r>
        <w:rPr>
          <w:b/>
          <w:color w:val="00B050"/>
        </w:rPr>
        <w:t>LÄHTEÜLESANNE</w:t>
      </w:r>
    </w:p>
    <w:p w14:paraId="34BD85C0" w14:textId="77777777" w:rsidR="000150FB" w:rsidRPr="000150FB" w:rsidRDefault="000150FB" w:rsidP="000150FB">
      <w:pPr>
        <w:rPr>
          <w:color w:val="00B050"/>
        </w:rPr>
      </w:pPr>
    </w:p>
    <w:p w14:paraId="65C0D7F0" w14:textId="3BAAC3C1" w:rsidR="000150FB" w:rsidRPr="000150FB" w:rsidRDefault="000150FB" w:rsidP="000150FB">
      <w:pPr>
        <w:pStyle w:val="Pealkiri2"/>
        <w:rPr>
          <w:color w:val="00B050"/>
        </w:rPr>
      </w:pPr>
    </w:p>
    <w:p w14:paraId="3228ED14" w14:textId="77777777" w:rsidR="000150FB" w:rsidRPr="000150FB" w:rsidRDefault="000150FB" w:rsidP="000150FB">
      <w:pPr>
        <w:rPr>
          <w:color w:val="00B050"/>
        </w:rPr>
      </w:pPr>
    </w:p>
    <w:p w14:paraId="671BD867" w14:textId="77777777" w:rsidR="000150FB" w:rsidRDefault="000150FB" w:rsidP="000150FB"/>
    <w:p w14:paraId="3249D3D7" w14:textId="77777777" w:rsidR="000150FB" w:rsidRDefault="000150FB" w:rsidP="000150FB"/>
    <w:p w14:paraId="5550B293" w14:textId="77777777" w:rsidR="000150FB" w:rsidRPr="006F247D" w:rsidRDefault="000150FB" w:rsidP="000150FB">
      <w:pPr>
        <w:jc w:val="right"/>
        <w:rPr>
          <w:color w:val="00833B" w:themeColor="accent1" w:themeShade="BF"/>
        </w:rPr>
      </w:pPr>
      <w:r w:rsidRPr="006F247D">
        <w:rPr>
          <w:color w:val="00833B" w:themeColor="accent1" w:themeShade="BF"/>
        </w:rPr>
        <w:t>Valga Vallavalitsus</w:t>
      </w:r>
    </w:p>
    <w:p w14:paraId="13DF9895" w14:textId="77777777" w:rsidR="000150FB" w:rsidRPr="006F247D" w:rsidRDefault="000150FB" w:rsidP="000150FB">
      <w:pPr>
        <w:jc w:val="right"/>
        <w:rPr>
          <w:color w:val="00833B" w:themeColor="accent1" w:themeShade="BF"/>
        </w:rPr>
      </w:pPr>
      <w:r w:rsidRPr="006F247D">
        <w:rPr>
          <w:color w:val="00833B" w:themeColor="accent1" w:themeShade="BF"/>
        </w:rPr>
        <w:t>Ehitus- ja planeerimisteenistus</w:t>
      </w:r>
    </w:p>
    <w:p w14:paraId="03ED442E" w14:textId="77777777" w:rsidR="000150FB" w:rsidRDefault="000150FB" w:rsidP="000150FB">
      <w:pPr>
        <w:jc w:val="right"/>
      </w:pPr>
    </w:p>
    <w:p w14:paraId="405D4718" w14:textId="4294E15B" w:rsidR="000150FB" w:rsidRDefault="000150FB" w:rsidP="000150FB"/>
    <w:p w14:paraId="0C55C278" w14:textId="77777777" w:rsidR="00492B32" w:rsidRDefault="00492B32" w:rsidP="000150FB"/>
    <w:p w14:paraId="2B8D98EC" w14:textId="77777777" w:rsidR="00492B32" w:rsidRDefault="00492B32" w:rsidP="000150FB"/>
    <w:p w14:paraId="557D27E7" w14:textId="77777777" w:rsidR="000150FB" w:rsidRDefault="000150FB" w:rsidP="000150FB">
      <w:pPr>
        <w:jc w:val="right"/>
      </w:pPr>
    </w:p>
    <w:p w14:paraId="7BD894B4" w14:textId="723050B3" w:rsidR="000150FB" w:rsidRPr="00492B32" w:rsidRDefault="000150FB" w:rsidP="00492B32">
      <w:pPr>
        <w:jc w:val="center"/>
        <w:rPr>
          <w:color w:val="00833B" w:themeColor="accent1" w:themeShade="BF"/>
        </w:rPr>
      </w:pPr>
      <w:r>
        <w:rPr>
          <w:color w:val="00833B" w:themeColor="accent1" w:themeShade="BF"/>
        </w:rPr>
        <w:t>Valgas 2019</w:t>
      </w:r>
      <w:r>
        <w:br w:type="page"/>
      </w:r>
    </w:p>
    <w:p w14:paraId="37899F91" w14:textId="5DB51B2D" w:rsidR="00053DB7" w:rsidRPr="00053DB7" w:rsidRDefault="00053DB7" w:rsidP="00053DB7">
      <w:pPr>
        <w:pStyle w:val="Pealkiri3"/>
        <w:numPr>
          <w:ilvl w:val="0"/>
          <w:numId w:val="2"/>
        </w:numPr>
        <w:rPr>
          <w:color w:val="00B050"/>
        </w:rPr>
      </w:pPr>
      <w:r w:rsidRPr="00053DB7">
        <w:rPr>
          <w:color w:val="00B050"/>
        </w:rPr>
        <w:lastRenderedPageBreak/>
        <w:t>Üldinfo</w:t>
      </w:r>
    </w:p>
    <w:p w14:paraId="7CA50E84" w14:textId="77777777" w:rsidR="00053DB7" w:rsidRPr="00070623" w:rsidRDefault="00CD25AD" w:rsidP="00053DB7">
      <w:pPr>
        <w:pStyle w:val="Loendilik"/>
        <w:numPr>
          <w:ilvl w:val="1"/>
          <w:numId w:val="2"/>
        </w:numPr>
        <w:ind w:left="426"/>
        <w:jc w:val="both"/>
        <w:rPr>
          <w:sz w:val="22"/>
          <w:szCs w:val="22"/>
        </w:rPr>
      </w:pPr>
      <w:r w:rsidRPr="00070623">
        <w:rPr>
          <w:sz w:val="22"/>
          <w:szCs w:val="22"/>
        </w:rPr>
        <w:t xml:space="preserve">Valga Vallavolikogu 28.09.2018. a otsusega nr 74 algatati Valga valla üldplaneeringu koostamine. </w:t>
      </w:r>
    </w:p>
    <w:p w14:paraId="515A9C8F" w14:textId="3042791C" w:rsidR="00053DB7" w:rsidRPr="00070623" w:rsidRDefault="00053DB7" w:rsidP="00053DB7">
      <w:pPr>
        <w:pStyle w:val="Loendilik"/>
        <w:numPr>
          <w:ilvl w:val="1"/>
          <w:numId w:val="2"/>
        </w:numPr>
        <w:ind w:left="426"/>
        <w:jc w:val="both"/>
        <w:rPr>
          <w:sz w:val="22"/>
          <w:szCs w:val="22"/>
        </w:rPr>
      </w:pPr>
      <w:r w:rsidRPr="00070623">
        <w:rPr>
          <w:sz w:val="22"/>
          <w:szCs w:val="22"/>
        </w:rPr>
        <w:t>Planeerimisseaduse § 75 lõike 1 järgi tuleb üldplaneeringuga lahendada muu hulgas järgmised ülesanded:</w:t>
      </w:r>
    </w:p>
    <w:p w14:paraId="586DB7FE" w14:textId="77777777" w:rsidR="00053DB7" w:rsidRPr="00070623" w:rsidRDefault="00053DB7" w:rsidP="00053DB7">
      <w:pPr>
        <w:pStyle w:val="Loendilik"/>
        <w:numPr>
          <w:ilvl w:val="2"/>
          <w:numId w:val="2"/>
        </w:numPr>
        <w:ind w:left="567" w:hanging="207"/>
        <w:jc w:val="both"/>
        <w:rPr>
          <w:sz w:val="22"/>
          <w:szCs w:val="22"/>
        </w:rPr>
      </w:pPr>
      <w:r w:rsidRPr="00070623">
        <w:rPr>
          <w:sz w:val="22"/>
          <w:szCs w:val="22"/>
        </w:rPr>
        <w:t>Asustuse arengut suunavate tingimuste täpsustamine;</w:t>
      </w:r>
    </w:p>
    <w:p w14:paraId="0A594685" w14:textId="012CE61E" w:rsidR="00053DB7" w:rsidRPr="00070623" w:rsidRDefault="00053DB7" w:rsidP="00053DB7">
      <w:pPr>
        <w:pStyle w:val="Loendilik"/>
        <w:numPr>
          <w:ilvl w:val="2"/>
          <w:numId w:val="2"/>
        </w:numPr>
        <w:ind w:left="567" w:hanging="207"/>
        <w:jc w:val="both"/>
        <w:rPr>
          <w:sz w:val="22"/>
          <w:szCs w:val="22"/>
        </w:rPr>
      </w:pPr>
      <w:r w:rsidRPr="00070623">
        <w:rPr>
          <w:sz w:val="22"/>
          <w:szCs w:val="22"/>
        </w:rPr>
        <w:t>Planeeringuala üldiste kasutu- ja ehitustingimuste, sh projekteerimistingimuste andmise aluseks olevate tingimuste, maakasutuse juhtotstarbe, maksimaalse ehitusmahu, hoonestuse kõrguspiirangu ja haljastusnõuete määramine.</w:t>
      </w:r>
    </w:p>
    <w:p w14:paraId="3284B031" w14:textId="67827216" w:rsidR="00492B32" w:rsidRPr="00070623" w:rsidRDefault="00417C32" w:rsidP="00492B32">
      <w:pPr>
        <w:pStyle w:val="Loendilik"/>
        <w:numPr>
          <w:ilvl w:val="1"/>
          <w:numId w:val="2"/>
        </w:numPr>
        <w:ind w:left="426"/>
        <w:jc w:val="both"/>
        <w:rPr>
          <w:sz w:val="22"/>
          <w:szCs w:val="22"/>
        </w:rPr>
      </w:pPr>
      <w:r w:rsidRPr="00070623">
        <w:rPr>
          <w:sz w:val="22"/>
          <w:szCs w:val="22"/>
        </w:rPr>
        <w:t>Asustust suunavate tingimuste määramisel tuleb lähtuda eelkõige kohapõhisest määratletud elanikkonna iseloomust. Valga valla rahvastik on kahanev ja samas ka vananeva iseloomuga.</w:t>
      </w:r>
      <w:r w:rsidR="006B6E68" w:rsidRPr="00070623">
        <w:rPr>
          <w:sz w:val="22"/>
          <w:szCs w:val="22"/>
        </w:rPr>
        <w:t xml:space="preserve"> Sellest tulenevalt on muutumises ka leibkondade suurus ja vajadus eluruumide järele. </w:t>
      </w:r>
    </w:p>
    <w:p w14:paraId="0B92C5D6" w14:textId="77777777" w:rsidR="002D6A69" w:rsidRPr="00070623" w:rsidRDefault="005447F2" w:rsidP="00492B32">
      <w:pPr>
        <w:pStyle w:val="Loendilik"/>
        <w:numPr>
          <w:ilvl w:val="1"/>
          <w:numId w:val="2"/>
        </w:numPr>
        <w:ind w:left="426"/>
        <w:jc w:val="both"/>
        <w:rPr>
          <w:sz w:val="22"/>
          <w:szCs w:val="22"/>
        </w:rPr>
      </w:pPr>
      <w:r w:rsidRPr="00070623">
        <w:rPr>
          <w:sz w:val="22"/>
          <w:szCs w:val="22"/>
        </w:rPr>
        <w:t xml:space="preserve">Üle 50% Valga valla elanikest elab korterelamus. Statistikaameti andmetel on Valga vallas 387 korterelamut, millest </w:t>
      </w:r>
      <w:r w:rsidR="002D6A69" w:rsidRPr="00070623">
        <w:rPr>
          <w:sz w:val="22"/>
          <w:szCs w:val="22"/>
        </w:rPr>
        <w:t>ligi 300 asub Valga linnas. Üle 60% nendest korterelamutest on vanemad kui 50 aastat ning 25% eluruumide seisundit on hinnatud kehvaks või rahuldavaks.</w:t>
      </w:r>
    </w:p>
    <w:p w14:paraId="27E94DC8" w14:textId="38998A5A" w:rsidR="00A44F8E" w:rsidRPr="00070623" w:rsidRDefault="00A44F8E" w:rsidP="00A44F8E">
      <w:pPr>
        <w:pStyle w:val="Loendilik"/>
        <w:numPr>
          <w:ilvl w:val="1"/>
          <w:numId w:val="2"/>
        </w:numPr>
        <w:ind w:left="426"/>
        <w:jc w:val="both"/>
        <w:rPr>
          <w:sz w:val="22"/>
          <w:szCs w:val="22"/>
        </w:rPr>
      </w:pPr>
      <w:r w:rsidRPr="00070623">
        <w:rPr>
          <w:sz w:val="22"/>
          <w:szCs w:val="22"/>
        </w:rPr>
        <w:t>2011. a rahvaloenduse tulemusena selgitati välja, et Valga linnas on 6 663 eluruumi, millest 5 523 on asustatud. 1040 eluruumis loenduse põhjal puuduvad püsielanikud. Elanike arvu vähenemisega ja vananemisega väheneb nõudlus eluasemete järele, mis omakorda tähendab, et linnapilti tekib kasutuseta või alakasutatud elamuid järjest juurde, sh korterelamuid. Valga linna paikvaatluse käigus (2014) tuvastati 45 maha jäetud korterelamut ja 34 korterelamus on asustatud alla poole korteritest. Tüüpiline selline kortermaja on kahekorruseline puitehitis, ühiskasutuses kuivkäimlaga, ilma pesemisruumideta ja keskkütteta (ehitatud 19. sajandi lõpus ja 20. sajandi alguses). Ka 2011. a rahvaloendus näitas, et Valga linnas on püsielaniketa 1040 eluruumi, nendest 806 eluruumi asus k</w:t>
      </w:r>
      <w:r w:rsidR="00670835" w:rsidRPr="00070623">
        <w:rPr>
          <w:sz w:val="22"/>
          <w:szCs w:val="22"/>
        </w:rPr>
        <w:t>orterelamutes</w:t>
      </w:r>
      <w:r w:rsidRPr="00070623">
        <w:rPr>
          <w:sz w:val="22"/>
          <w:szCs w:val="22"/>
        </w:rPr>
        <w:t xml:space="preserve">. </w:t>
      </w:r>
    </w:p>
    <w:p w14:paraId="48B3D131" w14:textId="580B3ADF" w:rsidR="00053DB7" w:rsidRDefault="00A44F8E" w:rsidP="00670835">
      <w:pPr>
        <w:pStyle w:val="Loendilik"/>
        <w:numPr>
          <w:ilvl w:val="1"/>
          <w:numId w:val="2"/>
        </w:numPr>
        <w:ind w:left="426"/>
        <w:jc w:val="both"/>
        <w:rPr>
          <w:sz w:val="22"/>
          <w:szCs w:val="22"/>
        </w:rPr>
      </w:pPr>
      <w:r w:rsidRPr="00070623">
        <w:rPr>
          <w:sz w:val="22"/>
          <w:szCs w:val="22"/>
        </w:rPr>
        <w:t>Valga valla üldplaneeringus linnalise asustusega aladel asustuse suunamiseks</w:t>
      </w:r>
      <w:r w:rsidR="00670835" w:rsidRPr="00070623">
        <w:rPr>
          <w:sz w:val="22"/>
          <w:szCs w:val="22"/>
        </w:rPr>
        <w:t>, sh korterelamu</w:t>
      </w:r>
      <w:r w:rsidR="005D000F">
        <w:rPr>
          <w:sz w:val="22"/>
          <w:szCs w:val="22"/>
        </w:rPr>
        <w:t xml:space="preserve"> </w:t>
      </w:r>
      <w:r w:rsidR="00670835" w:rsidRPr="00070623">
        <w:rPr>
          <w:sz w:val="22"/>
          <w:szCs w:val="22"/>
        </w:rPr>
        <w:t>maa maakasutuse juhtotstarbe määramiseks ning nendele alale kasutus- ja ehitustingimuste seadmiseks</w:t>
      </w:r>
      <w:r w:rsidRPr="00070623">
        <w:rPr>
          <w:sz w:val="22"/>
          <w:szCs w:val="22"/>
        </w:rPr>
        <w:t xml:space="preserve"> on vaja välja selgitada, kui palju on valla territooriumil </w:t>
      </w:r>
      <w:r w:rsidR="00670835" w:rsidRPr="00070623">
        <w:rPr>
          <w:sz w:val="22"/>
          <w:szCs w:val="22"/>
        </w:rPr>
        <w:t>olemasolevaid korterelamuid</w:t>
      </w:r>
      <w:r w:rsidRPr="00070623">
        <w:rPr>
          <w:sz w:val="22"/>
          <w:szCs w:val="22"/>
        </w:rPr>
        <w:t>, mis on jätkusuutlikud</w:t>
      </w:r>
      <w:r w:rsidR="00670835" w:rsidRPr="00070623">
        <w:rPr>
          <w:sz w:val="22"/>
          <w:szCs w:val="22"/>
        </w:rPr>
        <w:t>. See tähendab, nende tehniline seisukord on vähemalt hea, neid on majanduslikult otstarbekas renoveerida. Millistel ehitustehnilistel tingimustel on võimalik tõsta teatud korterelamutüüpide energiasäästlikust.</w:t>
      </w:r>
    </w:p>
    <w:p w14:paraId="29C2ACDF" w14:textId="7CAE74B3" w:rsidR="00832A94" w:rsidRPr="00070623" w:rsidRDefault="000033B9" w:rsidP="00053DB7">
      <w:pPr>
        <w:pStyle w:val="Loendilik"/>
        <w:numPr>
          <w:ilvl w:val="1"/>
          <w:numId w:val="2"/>
        </w:numPr>
        <w:ind w:left="426"/>
        <w:jc w:val="both"/>
        <w:rPr>
          <w:sz w:val="22"/>
          <w:szCs w:val="22"/>
        </w:rPr>
      </w:pPr>
      <w:r w:rsidRPr="00070623">
        <w:rPr>
          <w:sz w:val="22"/>
          <w:szCs w:val="22"/>
        </w:rPr>
        <w:t>Koostatava üldplaneeringu</w:t>
      </w:r>
      <w:r w:rsidR="00670835" w:rsidRPr="00070623">
        <w:rPr>
          <w:sz w:val="22"/>
          <w:szCs w:val="22"/>
        </w:rPr>
        <w:t xml:space="preserve"> ühe peamise eesmärgi saavutamiseks, </w:t>
      </w:r>
      <w:r w:rsidR="00114F27">
        <w:rPr>
          <w:sz w:val="22"/>
          <w:szCs w:val="22"/>
        </w:rPr>
        <w:t>milleks on</w:t>
      </w:r>
      <w:r w:rsidR="00670835" w:rsidRPr="00070623">
        <w:rPr>
          <w:sz w:val="22"/>
          <w:szCs w:val="22"/>
        </w:rPr>
        <w:t xml:space="preserve"> kahanemisega kohanemi</w:t>
      </w:r>
      <w:r w:rsidR="00114F27">
        <w:rPr>
          <w:sz w:val="22"/>
          <w:szCs w:val="22"/>
        </w:rPr>
        <w:t>ne</w:t>
      </w:r>
      <w:r w:rsidR="00670835" w:rsidRPr="00070623">
        <w:rPr>
          <w:sz w:val="22"/>
          <w:szCs w:val="22"/>
        </w:rPr>
        <w:t>,</w:t>
      </w:r>
      <w:r w:rsidRPr="00070623">
        <w:rPr>
          <w:sz w:val="22"/>
          <w:szCs w:val="22"/>
        </w:rPr>
        <w:t xml:space="preserve"> on kavas </w:t>
      </w:r>
      <w:r w:rsidR="00DD1D04" w:rsidRPr="00070623">
        <w:rPr>
          <w:sz w:val="22"/>
          <w:szCs w:val="22"/>
        </w:rPr>
        <w:t xml:space="preserve">pakkuda välja suunised (tingimused) </w:t>
      </w:r>
      <w:r w:rsidR="00114F27">
        <w:rPr>
          <w:sz w:val="22"/>
          <w:szCs w:val="22"/>
        </w:rPr>
        <w:t>elamu</w:t>
      </w:r>
      <w:r w:rsidR="00DD1D04" w:rsidRPr="00070623">
        <w:rPr>
          <w:sz w:val="22"/>
          <w:szCs w:val="22"/>
        </w:rPr>
        <w:t>majanduse jätkusuutlikuse tagamiseks läbi korter</w:t>
      </w:r>
      <w:r w:rsidR="00670835" w:rsidRPr="00070623">
        <w:rPr>
          <w:sz w:val="22"/>
          <w:szCs w:val="22"/>
        </w:rPr>
        <w:t>elamute</w:t>
      </w:r>
      <w:r w:rsidR="00DD1D04" w:rsidRPr="00070623">
        <w:rPr>
          <w:sz w:val="22"/>
          <w:szCs w:val="22"/>
        </w:rPr>
        <w:t xml:space="preserve"> (sh korterite) arvu optimeerimise ja energiasäästlikuks muutmise. </w:t>
      </w:r>
      <w:r w:rsidR="00114F27">
        <w:rPr>
          <w:sz w:val="22"/>
          <w:szCs w:val="22"/>
        </w:rPr>
        <w:t>See annab</w:t>
      </w:r>
      <w:r w:rsidR="00394600" w:rsidRPr="00070623">
        <w:rPr>
          <w:sz w:val="22"/>
          <w:szCs w:val="22"/>
        </w:rPr>
        <w:t xml:space="preserve"> omakorda Valga valla üldplaneeringule </w:t>
      </w:r>
      <w:r w:rsidR="00114F27">
        <w:rPr>
          <w:sz w:val="22"/>
          <w:szCs w:val="22"/>
        </w:rPr>
        <w:t xml:space="preserve">võimaluse pakkuda välja meetmed </w:t>
      </w:r>
      <w:r w:rsidR="00394600" w:rsidRPr="00070623">
        <w:rPr>
          <w:sz w:val="22"/>
          <w:szCs w:val="22"/>
        </w:rPr>
        <w:t>energia</w:t>
      </w:r>
      <w:r w:rsidR="00BE1162" w:rsidRPr="00070623">
        <w:rPr>
          <w:sz w:val="22"/>
          <w:szCs w:val="22"/>
        </w:rPr>
        <w:t>tõhusama ja keskkonnasäästlikuma</w:t>
      </w:r>
      <w:r w:rsidR="00114F27">
        <w:rPr>
          <w:sz w:val="22"/>
          <w:szCs w:val="22"/>
        </w:rPr>
        <w:t xml:space="preserve"> lahenduse saavutamiseks Valga vallas</w:t>
      </w:r>
      <w:r w:rsidR="00BE1162" w:rsidRPr="00070623">
        <w:rPr>
          <w:sz w:val="22"/>
          <w:szCs w:val="22"/>
        </w:rPr>
        <w:t xml:space="preserve">. </w:t>
      </w:r>
    </w:p>
    <w:p w14:paraId="2C6E9D43" w14:textId="3EBF0DB3" w:rsidR="00832A94" w:rsidRPr="000150FB" w:rsidRDefault="000150FB" w:rsidP="00525A80">
      <w:pPr>
        <w:pStyle w:val="Pealkiri3"/>
        <w:numPr>
          <w:ilvl w:val="0"/>
          <w:numId w:val="2"/>
        </w:numPr>
        <w:rPr>
          <w:color w:val="00B050"/>
        </w:rPr>
      </w:pPr>
      <w:r w:rsidRPr="000150FB">
        <w:rPr>
          <w:color w:val="00B050"/>
        </w:rPr>
        <w:t>U</w:t>
      </w:r>
      <w:r w:rsidR="000207B9" w:rsidRPr="000150FB">
        <w:rPr>
          <w:color w:val="00B050"/>
        </w:rPr>
        <w:t>uringu</w:t>
      </w:r>
      <w:r w:rsidR="00832A94" w:rsidRPr="000150FB">
        <w:rPr>
          <w:color w:val="00B050"/>
        </w:rPr>
        <w:t xml:space="preserve"> eesmärk</w:t>
      </w:r>
      <w:r w:rsidR="00525A80">
        <w:rPr>
          <w:color w:val="00B050"/>
        </w:rPr>
        <w:t xml:space="preserve"> ja sisu</w:t>
      </w:r>
    </w:p>
    <w:p w14:paraId="2A93DA4C" w14:textId="1FC1357E" w:rsidR="00832A94" w:rsidRPr="00070623" w:rsidRDefault="00525A80" w:rsidP="00525A80">
      <w:pPr>
        <w:pStyle w:val="Loendilik"/>
        <w:numPr>
          <w:ilvl w:val="1"/>
          <w:numId w:val="2"/>
        </w:numPr>
        <w:ind w:left="426"/>
        <w:jc w:val="both"/>
        <w:rPr>
          <w:sz w:val="22"/>
          <w:szCs w:val="22"/>
        </w:rPr>
      </w:pPr>
      <w:r w:rsidRPr="00070623">
        <w:rPr>
          <w:sz w:val="22"/>
          <w:szCs w:val="22"/>
        </w:rPr>
        <w:t>Uuringu ja selle põhjal koostatava analüüsi eesmärk on s</w:t>
      </w:r>
      <w:r w:rsidR="00BE1162" w:rsidRPr="00070623">
        <w:rPr>
          <w:sz w:val="22"/>
          <w:szCs w:val="22"/>
        </w:rPr>
        <w:t xml:space="preserve">aada sisend Valga valla </w:t>
      </w:r>
      <w:r w:rsidR="00673D0E">
        <w:rPr>
          <w:sz w:val="22"/>
          <w:szCs w:val="22"/>
        </w:rPr>
        <w:t>korter</w:t>
      </w:r>
      <w:r w:rsidR="00BE1162" w:rsidRPr="00070623">
        <w:rPr>
          <w:sz w:val="22"/>
          <w:szCs w:val="22"/>
        </w:rPr>
        <w:t>majanduse planeerimiseks</w:t>
      </w:r>
      <w:r w:rsidR="00CF7FB5" w:rsidRPr="00070623">
        <w:rPr>
          <w:sz w:val="22"/>
          <w:szCs w:val="22"/>
        </w:rPr>
        <w:t>, elamufondi korrastamiseks ja selle kaudu kahaneva rahvastiku tingimustes asustuse suunamiseks.</w:t>
      </w:r>
      <w:r w:rsidR="001F10AF" w:rsidRPr="00070623">
        <w:rPr>
          <w:sz w:val="22"/>
          <w:szCs w:val="22"/>
        </w:rPr>
        <w:t xml:space="preserve"> </w:t>
      </w:r>
    </w:p>
    <w:p w14:paraId="45C3CBE8" w14:textId="6D5A77A9" w:rsidR="00525A80" w:rsidRPr="00070623" w:rsidRDefault="00525A80" w:rsidP="00525A80">
      <w:pPr>
        <w:pStyle w:val="Loendilik"/>
        <w:numPr>
          <w:ilvl w:val="1"/>
          <w:numId w:val="2"/>
        </w:numPr>
        <w:ind w:left="426"/>
        <w:jc w:val="both"/>
        <w:rPr>
          <w:sz w:val="22"/>
          <w:szCs w:val="22"/>
        </w:rPr>
      </w:pPr>
      <w:r w:rsidRPr="00070623">
        <w:rPr>
          <w:sz w:val="22"/>
          <w:szCs w:val="22"/>
        </w:rPr>
        <w:lastRenderedPageBreak/>
        <w:t xml:space="preserve">Uuringu käigus tuleb välja selgitada kui suur on valimisse võetud asustusaladel paiknevate korterelamute arv. Kui palju on nendes hoonetes eluruume ja kui suur on eluruumide hõivatus. </w:t>
      </w:r>
    </w:p>
    <w:p w14:paraId="42AD7D97" w14:textId="18FE5A73" w:rsidR="00525A80" w:rsidRDefault="00525A80" w:rsidP="00525A80">
      <w:pPr>
        <w:pStyle w:val="Loendilik"/>
        <w:numPr>
          <w:ilvl w:val="1"/>
          <w:numId w:val="2"/>
        </w:numPr>
        <w:ind w:left="426"/>
        <w:jc w:val="both"/>
        <w:rPr>
          <w:sz w:val="22"/>
          <w:szCs w:val="22"/>
        </w:rPr>
      </w:pPr>
      <w:r w:rsidRPr="00070623">
        <w:rPr>
          <w:sz w:val="22"/>
          <w:szCs w:val="22"/>
        </w:rPr>
        <w:t xml:space="preserve">Uuringu ja analüüsi tulemusena tehakse ettepanekuid, millised hoonete tüübid või grupid on jätkusuutlikud ja millistel tingimustel. Samas tuuakse välja ka hoonete tüübid või grupid, mis on otstarbekad lammutada või leida uus </w:t>
      </w:r>
      <w:r w:rsidR="005D0091" w:rsidRPr="00070623">
        <w:rPr>
          <w:sz w:val="22"/>
          <w:szCs w:val="22"/>
        </w:rPr>
        <w:t>kasutusviis.</w:t>
      </w:r>
    </w:p>
    <w:p w14:paraId="70E0A42C" w14:textId="03EDDBE9" w:rsidR="001852AF" w:rsidRPr="00070623" w:rsidRDefault="001852AF" w:rsidP="00525A80">
      <w:pPr>
        <w:pStyle w:val="Loendilik"/>
        <w:numPr>
          <w:ilvl w:val="1"/>
          <w:numId w:val="2"/>
        </w:numPr>
        <w:ind w:left="426"/>
        <w:jc w:val="both"/>
        <w:rPr>
          <w:sz w:val="22"/>
          <w:szCs w:val="22"/>
        </w:rPr>
      </w:pPr>
      <w:r>
        <w:t>Tuuakse välja tagajärjed, mis ohustavad korterelamuid, kus kavandatud kasutusele võtmise aeg on möödas või mööda saamas ning hoone renoveerimisega ei ole alustatud.</w:t>
      </w:r>
    </w:p>
    <w:p w14:paraId="0711AC06" w14:textId="38F22214" w:rsidR="005D0091" w:rsidRPr="00070623" w:rsidRDefault="005D0091" w:rsidP="00525A80">
      <w:pPr>
        <w:pStyle w:val="Loendilik"/>
        <w:numPr>
          <w:ilvl w:val="1"/>
          <w:numId w:val="2"/>
        </w:numPr>
        <w:ind w:left="426"/>
        <w:jc w:val="both"/>
        <w:rPr>
          <w:sz w:val="22"/>
          <w:szCs w:val="22"/>
        </w:rPr>
      </w:pPr>
      <w:r w:rsidRPr="00070623">
        <w:rPr>
          <w:sz w:val="22"/>
          <w:szCs w:val="22"/>
        </w:rPr>
        <w:t>Kogutud andmetele tuginedes tehakse analüüs või koostatakse vähemalt kaks stsenaariumit, mis aitavad põhjendada korterelamute arvu optimeerimist kahaneva rahvastikuga kohaneva omavalitsuse arengu suunamiseks. Analüüsi või stsenaariumi juures arvestatakse asjaoluga, et üldplaneeringuga soovitakse kohandada elukeskkonda praegusele rahvaarvule vastavaks</w:t>
      </w:r>
      <w:r w:rsidR="001852AF">
        <w:rPr>
          <w:sz w:val="22"/>
          <w:szCs w:val="22"/>
        </w:rPr>
        <w:t xml:space="preserve"> ja teadlikult suunata elanike </w:t>
      </w:r>
      <w:r w:rsidR="001852AF">
        <w:t>käitumist elukohavaliku tegemisel.</w:t>
      </w:r>
    </w:p>
    <w:p w14:paraId="7BCC8979" w14:textId="00366E8B" w:rsidR="00070623" w:rsidRPr="00070623" w:rsidRDefault="00070623" w:rsidP="00070623">
      <w:pPr>
        <w:pStyle w:val="Loendilik"/>
        <w:numPr>
          <w:ilvl w:val="1"/>
          <w:numId w:val="2"/>
        </w:numPr>
        <w:ind w:left="426"/>
        <w:jc w:val="both"/>
        <w:rPr>
          <w:sz w:val="22"/>
          <w:szCs w:val="22"/>
        </w:rPr>
      </w:pPr>
      <w:r w:rsidRPr="00070623">
        <w:rPr>
          <w:sz w:val="22"/>
          <w:szCs w:val="22"/>
        </w:rPr>
        <w:t>Antakse mõju hinnang Valga valla elukeskkonnale ja ökoloogilisele jalajäljele.</w:t>
      </w:r>
      <w:r w:rsidR="00114F27">
        <w:rPr>
          <w:sz w:val="22"/>
          <w:szCs w:val="22"/>
        </w:rPr>
        <w:t xml:space="preserve"> Mõju hinnatakse</w:t>
      </w:r>
      <w:r w:rsidR="005E1198">
        <w:rPr>
          <w:sz w:val="22"/>
          <w:szCs w:val="22"/>
        </w:rPr>
        <w:t xml:space="preserve"> </w:t>
      </w:r>
      <w:r w:rsidR="00BE3A61">
        <w:rPr>
          <w:sz w:val="22"/>
          <w:szCs w:val="22"/>
        </w:rPr>
        <w:t xml:space="preserve">nii </w:t>
      </w:r>
      <w:r w:rsidR="005E1198">
        <w:rPr>
          <w:sz w:val="22"/>
          <w:szCs w:val="22"/>
        </w:rPr>
        <w:t xml:space="preserve">olemasolevat </w:t>
      </w:r>
      <w:r w:rsidR="00BE3A61">
        <w:rPr>
          <w:sz w:val="22"/>
          <w:szCs w:val="22"/>
        </w:rPr>
        <w:t>olukorda arvestades, kui ka võttes arvesse analüüsiga või stsenaariumi</w:t>
      </w:r>
      <w:r w:rsidR="00315C9F">
        <w:rPr>
          <w:sz w:val="22"/>
          <w:szCs w:val="22"/>
        </w:rPr>
        <w:t>tega</w:t>
      </w:r>
      <w:r w:rsidR="00BE3A61">
        <w:rPr>
          <w:sz w:val="22"/>
          <w:szCs w:val="22"/>
        </w:rPr>
        <w:t xml:space="preserve"> </w:t>
      </w:r>
      <w:r w:rsidR="00315C9F">
        <w:rPr>
          <w:sz w:val="22"/>
          <w:szCs w:val="22"/>
        </w:rPr>
        <w:t xml:space="preserve">kavandatud muudatusi. </w:t>
      </w:r>
    </w:p>
    <w:p w14:paraId="3855EE28" w14:textId="6E657CE0" w:rsidR="00070623" w:rsidRPr="00070623" w:rsidRDefault="00070623" w:rsidP="00070623">
      <w:pPr>
        <w:jc w:val="both"/>
        <w:rPr>
          <w:sz w:val="22"/>
          <w:szCs w:val="22"/>
        </w:rPr>
      </w:pPr>
      <w:r w:rsidRPr="00070623">
        <w:rPr>
          <w:sz w:val="22"/>
          <w:szCs w:val="22"/>
        </w:rPr>
        <w:t>Tellija võib uuringu eesmärki ja sisu täpsustada pakkuja asjatundlike ettepanekutele ja märkustele tuginedes.</w:t>
      </w:r>
    </w:p>
    <w:p w14:paraId="570CF547" w14:textId="77777777" w:rsidR="00070623" w:rsidRDefault="00070623" w:rsidP="00070623">
      <w:pPr>
        <w:pStyle w:val="Pealkiri3"/>
        <w:numPr>
          <w:ilvl w:val="0"/>
          <w:numId w:val="2"/>
        </w:numPr>
        <w:rPr>
          <w:color w:val="00B050"/>
        </w:rPr>
      </w:pPr>
      <w:r>
        <w:rPr>
          <w:color w:val="00B050"/>
        </w:rPr>
        <w:t>Uuringu metoodika</w:t>
      </w:r>
    </w:p>
    <w:p w14:paraId="272A83E1" w14:textId="0DAA0936" w:rsidR="00070623" w:rsidRDefault="00070623" w:rsidP="00070623">
      <w:pPr>
        <w:pStyle w:val="Loendilik"/>
        <w:numPr>
          <w:ilvl w:val="1"/>
          <w:numId w:val="2"/>
        </w:numPr>
        <w:ind w:left="426"/>
      </w:pPr>
      <w:r>
        <w:t>Uuring ja analüüs on läbi viidud arvestades järgnevaga:</w:t>
      </w:r>
    </w:p>
    <w:p w14:paraId="4F300C32" w14:textId="35D99988" w:rsidR="00070623" w:rsidRDefault="00315C9F" w:rsidP="00070623">
      <w:pPr>
        <w:pStyle w:val="Loendilik"/>
        <w:numPr>
          <w:ilvl w:val="2"/>
          <w:numId w:val="2"/>
        </w:numPr>
        <w:ind w:left="709" w:hanging="349"/>
      </w:pPr>
      <w:r>
        <w:t>Valimis</w:t>
      </w:r>
      <w:r w:rsidR="00070623">
        <w:t xml:space="preserve"> olevate asustusalade korterelamute inventeerimine ja uurimisnimekirja koostamine,</w:t>
      </w:r>
    </w:p>
    <w:p w14:paraId="3587D36A" w14:textId="11D01CAA" w:rsidR="00070623" w:rsidRDefault="000D31B8" w:rsidP="00070623">
      <w:pPr>
        <w:pStyle w:val="Loendilik"/>
        <w:numPr>
          <w:ilvl w:val="2"/>
          <w:numId w:val="2"/>
        </w:numPr>
        <w:ind w:left="709" w:hanging="349"/>
      </w:pPr>
      <w:proofErr w:type="spellStart"/>
      <w:r>
        <w:t>Välisvaatluse</w:t>
      </w:r>
      <w:proofErr w:type="spellEnd"/>
      <w:r>
        <w:t xml:space="preserve"> teostami</w:t>
      </w:r>
      <w:r w:rsidR="005D000F">
        <w:t>ne</w:t>
      </w:r>
      <w:r>
        <w:t xml:space="preserve"> ja a</w:t>
      </w:r>
      <w:r w:rsidR="00070623">
        <w:t xml:space="preserve">ndmete kogumine, sh </w:t>
      </w:r>
      <w:r>
        <w:t>andmepäringute</w:t>
      </w:r>
      <w:r w:rsidR="00070623">
        <w:t xml:space="preserve"> tegemine,</w:t>
      </w:r>
    </w:p>
    <w:p w14:paraId="0B180348" w14:textId="61CA49F3" w:rsidR="00070623" w:rsidRDefault="00070623" w:rsidP="00070623">
      <w:pPr>
        <w:pStyle w:val="Loendilik"/>
        <w:numPr>
          <w:ilvl w:val="2"/>
          <w:numId w:val="2"/>
        </w:numPr>
        <w:ind w:left="709" w:hanging="349"/>
      </w:pPr>
      <w:r>
        <w:t>Inventeerimine, sh andmete süstematiseerimine</w:t>
      </w:r>
      <w:r w:rsidR="00C4597F">
        <w:t xml:space="preserve">, </w:t>
      </w:r>
      <w:r w:rsidR="005D000F">
        <w:t>peab sisaldama</w:t>
      </w:r>
      <w:r w:rsidR="00C4597F">
        <w:t xml:space="preserve"> vähemalt järgnevat teavet:</w:t>
      </w:r>
    </w:p>
    <w:p w14:paraId="649C0A6E" w14:textId="7CC40F89" w:rsidR="000D31B8" w:rsidRDefault="000D31B8" w:rsidP="00C4597F">
      <w:pPr>
        <w:pStyle w:val="Loendilik"/>
        <w:numPr>
          <w:ilvl w:val="3"/>
          <w:numId w:val="2"/>
        </w:numPr>
        <w:ind w:left="1134" w:hanging="349"/>
      </w:pPr>
      <w:r>
        <w:t>Korterelamute seisukorra kirjeldus,</w:t>
      </w:r>
    </w:p>
    <w:p w14:paraId="12A481C2" w14:textId="4759FEFA" w:rsidR="000D31B8" w:rsidRDefault="000D31B8" w:rsidP="00C4597F">
      <w:pPr>
        <w:pStyle w:val="Loendilik"/>
        <w:numPr>
          <w:ilvl w:val="3"/>
          <w:numId w:val="2"/>
        </w:numPr>
        <w:ind w:left="1134" w:hanging="349"/>
      </w:pPr>
      <w:r>
        <w:t>Grupeerimise võimalus asukoha</w:t>
      </w:r>
      <w:r w:rsidR="00A65959">
        <w:t>, omandivormi</w:t>
      </w:r>
      <w:r>
        <w:t>, vanuse, korruselisuse, konstruktsioonitüübi ja eluruumide arvu järgi,</w:t>
      </w:r>
    </w:p>
    <w:p w14:paraId="4496D678" w14:textId="510915F4" w:rsidR="00C4597F" w:rsidRDefault="00070623" w:rsidP="00C4597F">
      <w:pPr>
        <w:pStyle w:val="Loendilik"/>
        <w:numPr>
          <w:ilvl w:val="3"/>
          <w:numId w:val="2"/>
        </w:numPr>
        <w:ind w:left="1134" w:hanging="349"/>
      </w:pPr>
      <w:r>
        <w:t>Kortermajade olemasolev energiatarve,</w:t>
      </w:r>
    </w:p>
    <w:p w14:paraId="41CE886A" w14:textId="68E896FC" w:rsidR="00070623" w:rsidRDefault="00070623" w:rsidP="00C4597F">
      <w:pPr>
        <w:pStyle w:val="Loendilik"/>
        <w:numPr>
          <w:ilvl w:val="3"/>
          <w:numId w:val="2"/>
        </w:numPr>
        <w:ind w:left="1134" w:hanging="349"/>
      </w:pPr>
      <w:r>
        <w:t>Kortermajade hõivatus</w:t>
      </w:r>
      <w:r w:rsidR="000D31B8">
        <w:t>e hinnang</w:t>
      </w:r>
    </w:p>
    <w:p w14:paraId="69B6D6DB" w14:textId="286552DD" w:rsidR="00C4597F" w:rsidRDefault="00C4597F" w:rsidP="000D31B8">
      <w:pPr>
        <w:pStyle w:val="Loendilik"/>
        <w:numPr>
          <w:ilvl w:val="3"/>
          <w:numId w:val="2"/>
        </w:numPr>
        <w:ind w:left="1134" w:hanging="349"/>
      </w:pPr>
      <w:r>
        <w:t>Jätkusuutlik</w:t>
      </w:r>
      <w:r w:rsidR="001566DE">
        <w:t>k</w:t>
      </w:r>
      <w:r>
        <w:t>use võimekus</w:t>
      </w:r>
      <w:r w:rsidR="000D31B8">
        <w:t>e hinnang</w:t>
      </w:r>
      <w:r>
        <w:t>.</w:t>
      </w:r>
    </w:p>
    <w:p w14:paraId="3246FE9B" w14:textId="778A474C" w:rsidR="00C4597F" w:rsidRDefault="00C4597F" w:rsidP="00C4597F">
      <w:pPr>
        <w:pStyle w:val="Loendilik"/>
        <w:numPr>
          <w:ilvl w:val="2"/>
          <w:numId w:val="2"/>
        </w:numPr>
        <w:ind w:left="709" w:hanging="436"/>
      </w:pPr>
      <w:r>
        <w:t xml:space="preserve">Analüüsi koostamine ja </w:t>
      </w:r>
      <w:r w:rsidR="001566DE">
        <w:t>kaardikihtide</w:t>
      </w:r>
      <w:r>
        <w:t xml:space="preserve"> loomine,</w:t>
      </w:r>
    </w:p>
    <w:p w14:paraId="4930A04A" w14:textId="049CEA73" w:rsidR="00C4597F" w:rsidRDefault="00C4597F" w:rsidP="00C4597F">
      <w:pPr>
        <w:pStyle w:val="Loendilik"/>
        <w:numPr>
          <w:ilvl w:val="2"/>
          <w:numId w:val="2"/>
        </w:numPr>
        <w:ind w:left="709" w:hanging="436"/>
      </w:pPr>
      <w:r>
        <w:t>Kasutus- ja ehitustingimuste määramine,</w:t>
      </w:r>
    </w:p>
    <w:p w14:paraId="12DAE8DD" w14:textId="6FC5E09F" w:rsidR="00C4597F" w:rsidRDefault="00C4597F" w:rsidP="00C4597F">
      <w:pPr>
        <w:pStyle w:val="Loendilik"/>
        <w:numPr>
          <w:ilvl w:val="2"/>
          <w:numId w:val="2"/>
        </w:numPr>
        <w:ind w:left="709" w:hanging="436"/>
      </w:pPr>
      <w:r>
        <w:t>Avalikustamine,</w:t>
      </w:r>
    </w:p>
    <w:p w14:paraId="15473611" w14:textId="6D76AB2B" w:rsidR="00C4597F" w:rsidRDefault="00C4597F" w:rsidP="00C4597F">
      <w:pPr>
        <w:pStyle w:val="Loendilik"/>
        <w:numPr>
          <w:ilvl w:val="2"/>
          <w:numId w:val="2"/>
        </w:numPr>
        <w:ind w:left="709" w:hanging="436"/>
      </w:pPr>
      <w:r>
        <w:t>Töö parandamine/täiendamine ja töö lõpetamine.</w:t>
      </w:r>
    </w:p>
    <w:p w14:paraId="7C917E9D" w14:textId="557B49B2" w:rsidR="00C4597F" w:rsidRDefault="00C4597F" w:rsidP="00C4597F">
      <w:pPr>
        <w:pStyle w:val="Loendilik"/>
        <w:numPr>
          <w:ilvl w:val="1"/>
          <w:numId w:val="2"/>
        </w:numPr>
        <w:ind w:left="426" w:hanging="425"/>
      </w:pPr>
      <w:r>
        <w:t>Uuringuks ja analüüsiks vajalikud küsimustikud või ankeedid koostab Pakkuja.</w:t>
      </w:r>
    </w:p>
    <w:p w14:paraId="75C720C8" w14:textId="3742C123" w:rsidR="00C4597F" w:rsidRDefault="00C4597F" w:rsidP="00C4597F">
      <w:pPr>
        <w:pStyle w:val="Loendilik"/>
        <w:numPr>
          <w:ilvl w:val="1"/>
          <w:numId w:val="2"/>
        </w:numPr>
        <w:ind w:left="426" w:hanging="425"/>
      </w:pPr>
      <w:r>
        <w:t>Pakkuja viib läbi tööks vajalikud intervjuud.</w:t>
      </w:r>
      <w:r w:rsidR="00315C9F">
        <w:t xml:space="preserve"> Intervjuude maht peab olema propotsioonis töö eesmärgiga ja peab andma sisulist teavet järelduste tegemiseks.</w:t>
      </w:r>
    </w:p>
    <w:p w14:paraId="16A03001" w14:textId="1EA2B00A" w:rsidR="00C4597F" w:rsidRDefault="00C4597F" w:rsidP="00C4597F">
      <w:pPr>
        <w:pStyle w:val="Loendilik"/>
        <w:numPr>
          <w:ilvl w:val="1"/>
          <w:numId w:val="2"/>
        </w:numPr>
        <w:ind w:left="426" w:hanging="425"/>
      </w:pPr>
      <w:r>
        <w:t xml:space="preserve">Tellija on valmis uuringu läbiviimise hõlbustamiseks looma interaktiivseid küsitluskeskkondi või </w:t>
      </w:r>
      <w:r w:rsidR="001566DE">
        <w:t xml:space="preserve">illustreerivaid </w:t>
      </w:r>
      <w:r>
        <w:t>kaardirakendusi ning jagama selle kohast infot elanikele.</w:t>
      </w:r>
    </w:p>
    <w:p w14:paraId="6ACC678B" w14:textId="5700770C" w:rsidR="00C4597F" w:rsidRDefault="00C4597F" w:rsidP="00C4597F">
      <w:pPr>
        <w:pStyle w:val="Loendilik"/>
        <w:numPr>
          <w:ilvl w:val="1"/>
          <w:numId w:val="2"/>
        </w:numPr>
        <w:ind w:left="426" w:hanging="425"/>
      </w:pPr>
      <w:r>
        <w:t>Tellija on valmis vajalike andmete kogumiseks esitama pä</w:t>
      </w:r>
      <w:r w:rsidR="0014084B">
        <w:t>ringuid asutustele ja ettevõtetele.</w:t>
      </w:r>
    </w:p>
    <w:p w14:paraId="47E3F581" w14:textId="2C70B0B6" w:rsidR="0014084B" w:rsidRDefault="0014084B" w:rsidP="0014084B">
      <w:r>
        <w:t>Tellija võib uuringu metoodikat täpsustada Pakkuja asjatundlike ettepanekutele ja märkustele tuginedes.</w:t>
      </w:r>
    </w:p>
    <w:p w14:paraId="052A6FFA" w14:textId="16AD23C3" w:rsidR="00BE1162" w:rsidRPr="000150FB" w:rsidRDefault="0014084B" w:rsidP="00525A80">
      <w:pPr>
        <w:pStyle w:val="Pealkiri3"/>
        <w:numPr>
          <w:ilvl w:val="0"/>
          <w:numId w:val="2"/>
        </w:numPr>
        <w:rPr>
          <w:color w:val="00B050"/>
        </w:rPr>
      </w:pPr>
      <w:r>
        <w:rPr>
          <w:color w:val="00B050"/>
        </w:rPr>
        <w:lastRenderedPageBreak/>
        <w:t>Uuringu valim</w:t>
      </w:r>
    </w:p>
    <w:p w14:paraId="48167F8B" w14:textId="09455B78" w:rsidR="00F02549" w:rsidRDefault="001F10AF" w:rsidP="00525A80">
      <w:pPr>
        <w:pStyle w:val="Loendilik"/>
        <w:numPr>
          <w:ilvl w:val="1"/>
          <w:numId w:val="2"/>
        </w:numPr>
        <w:ind w:left="426"/>
        <w:jc w:val="both"/>
      </w:pPr>
      <w:r>
        <w:t xml:space="preserve">Uuring </w:t>
      </w:r>
      <w:r w:rsidR="00F02549">
        <w:t xml:space="preserve">viiakse läbi </w:t>
      </w:r>
      <w:r>
        <w:t>Valga valla asustusaladel, kus korter</w:t>
      </w:r>
      <w:r w:rsidR="00606663">
        <w:t xml:space="preserve">elamute </w:t>
      </w:r>
      <w:r>
        <w:t>arv on suurem</w:t>
      </w:r>
      <w:r w:rsidR="00F02549">
        <w:t>.</w:t>
      </w:r>
      <w:r>
        <w:t xml:space="preserve"> Valimisse võetakse Valga linna, Tsirguliina aleviku, Õru aleviku, Kaagjärve ja </w:t>
      </w:r>
      <w:proofErr w:type="spellStart"/>
      <w:r>
        <w:t>Lüllemäe</w:t>
      </w:r>
      <w:proofErr w:type="spellEnd"/>
      <w:r>
        <w:t xml:space="preserve"> külakeskuse kortermajad (tabel 1). </w:t>
      </w:r>
    </w:p>
    <w:p w14:paraId="2227DA67" w14:textId="77777777" w:rsidR="00F02549" w:rsidRDefault="00F02549" w:rsidP="00BE1162">
      <w:pPr>
        <w:rPr>
          <w:sz w:val="18"/>
          <w:szCs w:val="18"/>
        </w:rPr>
      </w:pPr>
      <w:r>
        <w:rPr>
          <w:sz w:val="18"/>
          <w:szCs w:val="18"/>
        </w:rPr>
        <w:t xml:space="preserve">Tabel 1. Valga valla asustusalade kortermajade </w:t>
      </w:r>
      <w:r w:rsidR="001F10AF">
        <w:rPr>
          <w:sz w:val="18"/>
          <w:szCs w:val="18"/>
        </w:rPr>
        <w:t xml:space="preserve">arv </w:t>
      </w:r>
      <w:r>
        <w:rPr>
          <w:sz w:val="18"/>
          <w:szCs w:val="18"/>
        </w:rPr>
        <w:t>ja nendes asuvate korterite arv (Allikas: Ehitisregister, 2018)</w:t>
      </w:r>
    </w:p>
    <w:tbl>
      <w:tblPr>
        <w:tblStyle w:val="Kontuurtabel"/>
        <w:tblW w:w="0" w:type="auto"/>
        <w:jc w:val="center"/>
        <w:tblLook w:val="04A0" w:firstRow="1" w:lastRow="0" w:firstColumn="1" w:lastColumn="0" w:noHBand="0" w:noVBand="1"/>
      </w:tblPr>
      <w:tblGrid>
        <w:gridCol w:w="3114"/>
        <w:gridCol w:w="3115"/>
        <w:gridCol w:w="3115"/>
      </w:tblGrid>
      <w:tr w:rsidR="001F10AF" w:rsidRPr="001F10AF" w14:paraId="0FDB5B4D" w14:textId="77777777" w:rsidTr="001F10AF">
        <w:trPr>
          <w:jc w:val="center"/>
        </w:trPr>
        <w:tc>
          <w:tcPr>
            <w:tcW w:w="3114" w:type="dxa"/>
          </w:tcPr>
          <w:p w14:paraId="6DF27243" w14:textId="77777777" w:rsidR="001F10AF" w:rsidRPr="001F10AF" w:rsidRDefault="001F10AF" w:rsidP="001F10AF">
            <w:pPr>
              <w:jc w:val="center"/>
              <w:rPr>
                <w:b/>
                <w:sz w:val="18"/>
                <w:szCs w:val="18"/>
              </w:rPr>
            </w:pPr>
            <w:r w:rsidRPr="001F10AF">
              <w:rPr>
                <w:b/>
                <w:sz w:val="18"/>
                <w:szCs w:val="18"/>
              </w:rPr>
              <w:t>Asustusüksus</w:t>
            </w:r>
          </w:p>
        </w:tc>
        <w:tc>
          <w:tcPr>
            <w:tcW w:w="3115" w:type="dxa"/>
          </w:tcPr>
          <w:p w14:paraId="0916742C" w14:textId="210A79BD" w:rsidR="001F10AF" w:rsidRPr="001F10AF" w:rsidRDefault="001566DE" w:rsidP="001F10AF">
            <w:pPr>
              <w:jc w:val="center"/>
              <w:rPr>
                <w:b/>
                <w:sz w:val="18"/>
                <w:szCs w:val="18"/>
              </w:rPr>
            </w:pPr>
            <w:r>
              <w:rPr>
                <w:b/>
                <w:sz w:val="18"/>
                <w:szCs w:val="18"/>
              </w:rPr>
              <w:t>Korterelamute</w:t>
            </w:r>
            <w:r w:rsidR="001F10AF" w:rsidRPr="001F10AF">
              <w:rPr>
                <w:b/>
                <w:sz w:val="18"/>
                <w:szCs w:val="18"/>
              </w:rPr>
              <w:t xml:space="preserve"> arv</w:t>
            </w:r>
          </w:p>
        </w:tc>
        <w:tc>
          <w:tcPr>
            <w:tcW w:w="3115" w:type="dxa"/>
          </w:tcPr>
          <w:p w14:paraId="3D736AF7" w14:textId="029EAF62" w:rsidR="001F10AF" w:rsidRPr="001F10AF" w:rsidRDefault="001566DE" w:rsidP="001F10AF">
            <w:pPr>
              <w:jc w:val="center"/>
              <w:rPr>
                <w:b/>
                <w:sz w:val="18"/>
                <w:szCs w:val="18"/>
              </w:rPr>
            </w:pPr>
            <w:r>
              <w:rPr>
                <w:b/>
                <w:sz w:val="18"/>
                <w:szCs w:val="18"/>
              </w:rPr>
              <w:t>Korterite</w:t>
            </w:r>
            <w:r w:rsidR="001F10AF" w:rsidRPr="001F10AF">
              <w:rPr>
                <w:b/>
                <w:sz w:val="18"/>
                <w:szCs w:val="18"/>
              </w:rPr>
              <w:t xml:space="preserve"> arv</w:t>
            </w:r>
          </w:p>
        </w:tc>
      </w:tr>
      <w:tr w:rsidR="001F10AF" w:rsidRPr="001F10AF" w14:paraId="47511EDC" w14:textId="77777777" w:rsidTr="001F10AF">
        <w:trPr>
          <w:jc w:val="center"/>
        </w:trPr>
        <w:tc>
          <w:tcPr>
            <w:tcW w:w="3114" w:type="dxa"/>
          </w:tcPr>
          <w:p w14:paraId="6D4A5D14" w14:textId="77777777" w:rsidR="001F10AF" w:rsidRPr="001F10AF" w:rsidRDefault="001F10AF" w:rsidP="001F10AF">
            <w:pPr>
              <w:rPr>
                <w:sz w:val="18"/>
                <w:szCs w:val="18"/>
              </w:rPr>
            </w:pPr>
            <w:r>
              <w:rPr>
                <w:sz w:val="18"/>
                <w:szCs w:val="18"/>
              </w:rPr>
              <w:t>Valga linn</w:t>
            </w:r>
          </w:p>
        </w:tc>
        <w:tc>
          <w:tcPr>
            <w:tcW w:w="3115" w:type="dxa"/>
          </w:tcPr>
          <w:p w14:paraId="58E1CCBD" w14:textId="75CA2A13" w:rsidR="0014084B" w:rsidRPr="0014084B" w:rsidRDefault="001F10AF" w:rsidP="0014084B">
            <w:pPr>
              <w:jc w:val="center"/>
              <w:rPr>
                <w:sz w:val="18"/>
                <w:szCs w:val="18"/>
              </w:rPr>
            </w:pPr>
            <w:r>
              <w:rPr>
                <w:sz w:val="18"/>
                <w:szCs w:val="18"/>
              </w:rPr>
              <w:t>267</w:t>
            </w:r>
          </w:p>
        </w:tc>
        <w:tc>
          <w:tcPr>
            <w:tcW w:w="3115" w:type="dxa"/>
          </w:tcPr>
          <w:p w14:paraId="69784DE4" w14:textId="2DBCAE37" w:rsidR="0014084B" w:rsidRPr="0014084B" w:rsidRDefault="001F10AF" w:rsidP="0014084B">
            <w:pPr>
              <w:jc w:val="center"/>
              <w:rPr>
                <w:sz w:val="18"/>
                <w:szCs w:val="18"/>
              </w:rPr>
            </w:pPr>
            <w:r>
              <w:rPr>
                <w:sz w:val="18"/>
                <w:szCs w:val="18"/>
              </w:rPr>
              <w:t>5032</w:t>
            </w:r>
          </w:p>
        </w:tc>
      </w:tr>
      <w:tr w:rsidR="001F10AF" w:rsidRPr="001F10AF" w14:paraId="7AB7E4C4" w14:textId="77777777" w:rsidTr="001F10AF">
        <w:trPr>
          <w:jc w:val="center"/>
        </w:trPr>
        <w:tc>
          <w:tcPr>
            <w:tcW w:w="3114" w:type="dxa"/>
          </w:tcPr>
          <w:p w14:paraId="0E19C181" w14:textId="22C9FA98" w:rsidR="001F10AF" w:rsidRDefault="001F10AF" w:rsidP="001F10AF">
            <w:pPr>
              <w:rPr>
                <w:sz w:val="18"/>
                <w:szCs w:val="18"/>
              </w:rPr>
            </w:pPr>
            <w:r>
              <w:rPr>
                <w:sz w:val="18"/>
                <w:szCs w:val="18"/>
              </w:rPr>
              <w:t>Kaagjärve küla</w:t>
            </w:r>
            <w:r w:rsidR="0014084B">
              <w:rPr>
                <w:sz w:val="18"/>
                <w:szCs w:val="18"/>
              </w:rPr>
              <w:t xml:space="preserve"> keskus</w:t>
            </w:r>
          </w:p>
        </w:tc>
        <w:tc>
          <w:tcPr>
            <w:tcW w:w="3115" w:type="dxa"/>
          </w:tcPr>
          <w:p w14:paraId="0D2134B4" w14:textId="77777777" w:rsidR="001F10AF" w:rsidRDefault="001F10AF" w:rsidP="001F10AF">
            <w:pPr>
              <w:jc w:val="center"/>
              <w:rPr>
                <w:sz w:val="18"/>
                <w:szCs w:val="18"/>
              </w:rPr>
            </w:pPr>
            <w:r>
              <w:rPr>
                <w:sz w:val="18"/>
                <w:szCs w:val="18"/>
              </w:rPr>
              <w:t>12</w:t>
            </w:r>
          </w:p>
        </w:tc>
        <w:tc>
          <w:tcPr>
            <w:tcW w:w="3115" w:type="dxa"/>
          </w:tcPr>
          <w:p w14:paraId="4DEF91C4" w14:textId="77777777" w:rsidR="001F10AF" w:rsidRDefault="001F10AF" w:rsidP="001F10AF">
            <w:pPr>
              <w:jc w:val="center"/>
              <w:rPr>
                <w:sz w:val="18"/>
                <w:szCs w:val="18"/>
              </w:rPr>
            </w:pPr>
            <w:r>
              <w:rPr>
                <w:sz w:val="18"/>
                <w:szCs w:val="18"/>
              </w:rPr>
              <w:t>92</w:t>
            </w:r>
          </w:p>
        </w:tc>
      </w:tr>
      <w:tr w:rsidR="001F10AF" w:rsidRPr="001F10AF" w14:paraId="1A80873F" w14:textId="77777777" w:rsidTr="001F10AF">
        <w:trPr>
          <w:jc w:val="center"/>
        </w:trPr>
        <w:tc>
          <w:tcPr>
            <w:tcW w:w="3114" w:type="dxa"/>
          </w:tcPr>
          <w:p w14:paraId="7BD027DD" w14:textId="77777777" w:rsidR="001F10AF" w:rsidRDefault="001F10AF" w:rsidP="001F10AF">
            <w:pPr>
              <w:rPr>
                <w:sz w:val="18"/>
                <w:szCs w:val="18"/>
              </w:rPr>
            </w:pPr>
            <w:r>
              <w:rPr>
                <w:sz w:val="18"/>
                <w:szCs w:val="18"/>
              </w:rPr>
              <w:t>Tsirguliina alevik</w:t>
            </w:r>
          </w:p>
        </w:tc>
        <w:tc>
          <w:tcPr>
            <w:tcW w:w="3115" w:type="dxa"/>
          </w:tcPr>
          <w:p w14:paraId="7B964271" w14:textId="77777777" w:rsidR="001F10AF" w:rsidRDefault="001F10AF" w:rsidP="001F10AF">
            <w:pPr>
              <w:jc w:val="center"/>
              <w:rPr>
                <w:sz w:val="18"/>
                <w:szCs w:val="18"/>
              </w:rPr>
            </w:pPr>
            <w:r>
              <w:rPr>
                <w:sz w:val="18"/>
                <w:szCs w:val="18"/>
              </w:rPr>
              <w:t>11</w:t>
            </w:r>
          </w:p>
        </w:tc>
        <w:tc>
          <w:tcPr>
            <w:tcW w:w="3115" w:type="dxa"/>
          </w:tcPr>
          <w:p w14:paraId="4E7FDE50" w14:textId="77777777" w:rsidR="001F10AF" w:rsidRDefault="001F10AF" w:rsidP="001F10AF">
            <w:pPr>
              <w:jc w:val="center"/>
              <w:rPr>
                <w:sz w:val="18"/>
                <w:szCs w:val="18"/>
              </w:rPr>
            </w:pPr>
            <w:r>
              <w:rPr>
                <w:sz w:val="18"/>
                <w:szCs w:val="18"/>
              </w:rPr>
              <w:t>99</w:t>
            </w:r>
          </w:p>
        </w:tc>
      </w:tr>
      <w:tr w:rsidR="001F10AF" w:rsidRPr="001F10AF" w14:paraId="408F5136" w14:textId="77777777" w:rsidTr="001F10AF">
        <w:trPr>
          <w:jc w:val="center"/>
        </w:trPr>
        <w:tc>
          <w:tcPr>
            <w:tcW w:w="3114" w:type="dxa"/>
          </w:tcPr>
          <w:p w14:paraId="4FD129BE" w14:textId="77777777" w:rsidR="001F10AF" w:rsidRDefault="001F10AF" w:rsidP="001F10AF">
            <w:pPr>
              <w:rPr>
                <w:sz w:val="18"/>
                <w:szCs w:val="18"/>
              </w:rPr>
            </w:pPr>
            <w:proofErr w:type="spellStart"/>
            <w:r>
              <w:rPr>
                <w:sz w:val="18"/>
                <w:szCs w:val="18"/>
              </w:rPr>
              <w:t>Laatre</w:t>
            </w:r>
            <w:proofErr w:type="spellEnd"/>
            <w:r>
              <w:rPr>
                <w:sz w:val="18"/>
                <w:szCs w:val="18"/>
              </w:rPr>
              <w:t xml:space="preserve"> alevik</w:t>
            </w:r>
          </w:p>
        </w:tc>
        <w:tc>
          <w:tcPr>
            <w:tcW w:w="3115" w:type="dxa"/>
          </w:tcPr>
          <w:p w14:paraId="263B3E29" w14:textId="77777777" w:rsidR="001F10AF" w:rsidRDefault="001F10AF" w:rsidP="001F10AF">
            <w:pPr>
              <w:jc w:val="center"/>
              <w:rPr>
                <w:sz w:val="18"/>
                <w:szCs w:val="18"/>
              </w:rPr>
            </w:pPr>
            <w:r>
              <w:rPr>
                <w:sz w:val="18"/>
                <w:szCs w:val="18"/>
              </w:rPr>
              <w:t>8</w:t>
            </w:r>
          </w:p>
        </w:tc>
        <w:tc>
          <w:tcPr>
            <w:tcW w:w="3115" w:type="dxa"/>
          </w:tcPr>
          <w:p w14:paraId="49CC6018" w14:textId="77777777" w:rsidR="001F10AF" w:rsidRDefault="001F10AF" w:rsidP="001F10AF">
            <w:pPr>
              <w:jc w:val="center"/>
              <w:rPr>
                <w:sz w:val="18"/>
                <w:szCs w:val="18"/>
              </w:rPr>
            </w:pPr>
            <w:r>
              <w:rPr>
                <w:sz w:val="18"/>
                <w:szCs w:val="18"/>
              </w:rPr>
              <w:t>161</w:t>
            </w:r>
          </w:p>
        </w:tc>
      </w:tr>
      <w:tr w:rsidR="001F10AF" w:rsidRPr="001F10AF" w14:paraId="099F19F5" w14:textId="77777777" w:rsidTr="001F10AF">
        <w:trPr>
          <w:jc w:val="center"/>
        </w:trPr>
        <w:tc>
          <w:tcPr>
            <w:tcW w:w="3114" w:type="dxa"/>
          </w:tcPr>
          <w:p w14:paraId="552B4BF3" w14:textId="44E82EE5" w:rsidR="001F10AF" w:rsidRDefault="001F10AF" w:rsidP="001F10AF">
            <w:pPr>
              <w:rPr>
                <w:sz w:val="18"/>
                <w:szCs w:val="18"/>
              </w:rPr>
            </w:pPr>
            <w:proofErr w:type="spellStart"/>
            <w:r>
              <w:rPr>
                <w:sz w:val="18"/>
                <w:szCs w:val="18"/>
              </w:rPr>
              <w:t>Lüllemäe</w:t>
            </w:r>
            <w:proofErr w:type="spellEnd"/>
            <w:r>
              <w:rPr>
                <w:sz w:val="18"/>
                <w:szCs w:val="18"/>
              </w:rPr>
              <w:t xml:space="preserve"> </w:t>
            </w:r>
            <w:r w:rsidR="0014084B">
              <w:rPr>
                <w:sz w:val="18"/>
                <w:szCs w:val="18"/>
              </w:rPr>
              <w:t>küla keskus</w:t>
            </w:r>
          </w:p>
        </w:tc>
        <w:tc>
          <w:tcPr>
            <w:tcW w:w="3115" w:type="dxa"/>
          </w:tcPr>
          <w:p w14:paraId="790D801E" w14:textId="77777777" w:rsidR="001F10AF" w:rsidRDefault="001F10AF" w:rsidP="001F10AF">
            <w:pPr>
              <w:jc w:val="center"/>
              <w:rPr>
                <w:sz w:val="18"/>
                <w:szCs w:val="18"/>
              </w:rPr>
            </w:pPr>
            <w:r>
              <w:rPr>
                <w:sz w:val="18"/>
                <w:szCs w:val="18"/>
              </w:rPr>
              <w:t>8</w:t>
            </w:r>
          </w:p>
        </w:tc>
        <w:tc>
          <w:tcPr>
            <w:tcW w:w="3115" w:type="dxa"/>
          </w:tcPr>
          <w:p w14:paraId="15F8ECBF" w14:textId="77777777" w:rsidR="001F10AF" w:rsidRDefault="001F10AF" w:rsidP="001F10AF">
            <w:pPr>
              <w:jc w:val="center"/>
              <w:rPr>
                <w:sz w:val="18"/>
                <w:szCs w:val="18"/>
              </w:rPr>
            </w:pPr>
            <w:r>
              <w:rPr>
                <w:sz w:val="18"/>
                <w:szCs w:val="18"/>
              </w:rPr>
              <w:t>85</w:t>
            </w:r>
          </w:p>
        </w:tc>
      </w:tr>
      <w:tr w:rsidR="001F10AF" w:rsidRPr="001F10AF" w14:paraId="5146DEBC" w14:textId="77777777" w:rsidTr="001F10AF">
        <w:trPr>
          <w:jc w:val="center"/>
        </w:trPr>
        <w:tc>
          <w:tcPr>
            <w:tcW w:w="3114" w:type="dxa"/>
          </w:tcPr>
          <w:p w14:paraId="37B372D1" w14:textId="77777777" w:rsidR="001F10AF" w:rsidRDefault="001F10AF" w:rsidP="001F10AF">
            <w:pPr>
              <w:rPr>
                <w:sz w:val="18"/>
                <w:szCs w:val="18"/>
              </w:rPr>
            </w:pPr>
            <w:r>
              <w:rPr>
                <w:sz w:val="18"/>
                <w:szCs w:val="18"/>
              </w:rPr>
              <w:t>Õru alevik</w:t>
            </w:r>
          </w:p>
        </w:tc>
        <w:tc>
          <w:tcPr>
            <w:tcW w:w="3115" w:type="dxa"/>
          </w:tcPr>
          <w:p w14:paraId="7A489935" w14:textId="77777777" w:rsidR="001F10AF" w:rsidRDefault="001F10AF" w:rsidP="001F10AF">
            <w:pPr>
              <w:jc w:val="center"/>
              <w:rPr>
                <w:sz w:val="18"/>
                <w:szCs w:val="18"/>
              </w:rPr>
            </w:pPr>
            <w:r>
              <w:rPr>
                <w:sz w:val="18"/>
                <w:szCs w:val="18"/>
              </w:rPr>
              <w:t>7</w:t>
            </w:r>
          </w:p>
        </w:tc>
        <w:tc>
          <w:tcPr>
            <w:tcW w:w="3115" w:type="dxa"/>
          </w:tcPr>
          <w:p w14:paraId="4E2A8BED" w14:textId="77777777" w:rsidR="001F10AF" w:rsidRDefault="001F10AF" w:rsidP="001F10AF">
            <w:pPr>
              <w:jc w:val="center"/>
              <w:rPr>
                <w:sz w:val="18"/>
                <w:szCs w:val="18"/>
              </w:rPr>
            </w:pPr>
            <w:r>
              <w:rPr>
                <w:sz w:val="18"/>
                <w:szCs w:val="18"/>
              </w:rPr>
              <w:t>124</w:t>
            </w:r>
          </w:p>
        </w:tc>
      </w:tr>
    </w:tbl>
    <w:p w14:paraId="2DA34706" w14:textId="0E3A7632" w:rsidR="00070623" w:rsidRDefault="00525A80" w:rsidP="00606663">
      <w:pPr>
        <w:pStyle w:val="Loendilik"/>
        <w:numPr>
          <w:ilvl w:val="1"/>
          <w:numId w:val="2"/>
        </w:numPr>
        <w:spacing w:before="120"/>
        <w:ind w:left="425" w:hanging="357"/>
        <w:jc w:val="both"/>
      </w:pPr>
      <w:r>
        <w:t>Pakkumuse esitaja peab arvestama, et nii Eesti Statistikaameti ja ka Riikliku Ehitisregistri andmed on informatiivsed. Täpne valimi suurus selgub uuringu koostamise ja välitööde käigus.</w:t>
      </w:r>
    </w:p>
    <w:p w14:paraId="6369AECE" w14:textId="572ED694" w:rsidR="0014084B" w:rsidRDefault="0014084B" w:rsidP="0014084B">
      <w:pPr>
        <w:jc w:val="both"/>
      </w:pPr>
      <w:r>
        <w:t>Tellija võib uuringu valimit täpsustada Pakkuja asjatundlike ettepanekutele ja märkustele tuginedes.</w:t>
      </w:r>
    </w:p>
    <w:p w14:paraId="2E3E472D" w14:textId="22276B72" w:rsidR="0014084B" w:rsidRDefault="0014084B" w:rsidP="0014084B">
      <w:pPr>
        <w:pStyle w:val="Pealkiri3"/>
        <w:numPr>
          <w:ilvl w:val="0"/>
          <w:numId w:val="2"/>
        </w:numPr>
        <w:rPr>
          <w:color w:val="00B050"/>
        </w:rPr>
      </w:pPr>
      <w:r>
        <w:rPr>
          <w:color w:val="00B050"/>
        </w:rPr>
        <w:t>Uuringu ajakava</w:t>
      </w:r>
    </w:p>
    <w:p w14:paraId="5D51C03D" w14:textId="4F7F7D89" w:rsidR="0014084B" w:rsidRPr="0014084B" w:rsidRDefault="0014084B" w:rsidP="0014084B">
      <w:pPr>
        <w:pStyle w:val="Loendilik"/>
        <w:numPr>
          <w:ilvl w:val="1"/>
          <w:numId w:val="2"/>
        </w:numPr>
        <w:ind w:left="426"/>
      </w:pPr>
      <w:r>
        <w:t>Uuringu vormistamise lõpptähtaeg on 6 kuud peale lepingu sõlmimist.</w:t>
      </w:r>
    </w:p>
    <w:p w14:paraId="3A5CD0B5" w14:textId="7BA27F6B" w:rsidR="0014084B" w:rsidRDefault="0014084B" w:rsidP="0014084B">
      <w:pPr>
        <w:pStyle w:val="Pealkiri3"/>
        <w:numPr>
          <w:ilvl w:val="0"/>
          <w:numId w:val="2"/>
        </w:numPr>
        <w:rPr>
          <w:color w:val="00B050"/>
        </w:rPr>
      </w:pPr>
      <w:r>
        <w:rPr>
          <w:color w:val="00B050"/>
        </w:rPr>
        <w:t>Uuringu seiramine, töökoosolekud ja esitlused</w:t>
      </w:r>
    </w:p>
    <w:p w14:paraId="41B4A334" w14:textId="4A84F4C9" w:rsidR="0014084B" w:rsidRDefault="0014084B" w:rsidP="0014084B">
      <w:pPr>
        <w:pStyle w:val="Loendilik"/>
        <w:numPr>
          <w:ilvl w:val="1"/>
          <w:numId w:val="2"/>
        </w:numPr>
        <w:spacing w:line="259" w:lineRule="auto"/>
        <w:ind w:left="426"/>
        <w:jc w:val="both"/>
      </w:pPr>
      <w:r>
        <w:t>Uuringu läbiviimiseks luuakse Tellija esindajatest ja Pakkuja esindajatest komisjon.</w:t>
      </w:r>
    </w:p>
    <w:p w14:paraId="49E5D297" w14:textId="77777777" w:rsidR="0014084B" w:rsidRDefault="0014084B" w:rsidP="0014084B">
      <w:pPr>
        <w:pStyle w:val="Loendilik"/>
        <w:numPr>
          <w:ilvl w:val="1"/>
          <w:numId w:val="2"/>
        </w:numPr>
        <w:spacing w:line="259" w:lineRule="auto"/>
        <w:ind w:left="426"/>
        <w:jc w:val="both"/>
      </w:pPr>
      <w:r>
        <w:t xml:space="preserve">Komisjon kinnitab uuringumetoodika ja läbiviimise ajakava, koostatud ankeedid ja küsimustikud. </w:t>
      </w:r>
    </w:p>
    <w:p w14:paraId="10CCB663" w14:textId="77777777" w:rsidR="0014084B" w:rsidRDefault="0014084B" w:rsidP="0014084B">
      <w:pPr>
        <w:pStyle w:val="Loendilik"/>
        <w:numPr>
          <w:ilvl w:val="1"/>
          <w:numId w:val="2"/>
        </w:numPr>
        <w:spacing w:line="259" w:lineRule="auto"/>
        <w:ind w:left="426"/>
        <w:jc w:val="both"/>
      </w:pPr>
      <w:r>
        <w:t xml:space="preserve">Komisjon kinnitab uurimisülesannete täitmise tulemuste vastavuse uuringu eesmärgipüstitusele ning annab vajadusel täiendavaid juhiseid ja selgitusi. </w:t>
      </w:r>
    </w:p>
    <w:p w14:paraId="187DAB0A" w14:textId="77777777" w:rsidR="0014084B" w:rsidRDefault="0014084B" w:rsidP="0014084B">
      <w:pPr>
        <w:pStyle w:val="Loendilik"/>
        <w:numPr>
          <w:ilvl w:val="1"/>
          <w:numId w:val="2"/>
        </w:numPr>
        <w:spacing w:line="259" w:lineRule="auto"/>
        <w:ind w:left="426"/>
        <w:jc w:val="both"/>
      </w:pPr>
      <w:r>
        <w:t>Pakkuja peab töö teostamise perioodil arvestama vähemalt järgnevate koosolekute ja esitluste vajadusega:</w:t>
      </w:r>
    </w:p>
    <w:p w14:paraId="28176584" w14:textId="3F031A9C" w:rsidR="0014084B" w:rsidRDefault="0014084B" w:rsidP="0014084B">
      <w:pPr>
        <w:pStyle w:val="Loendilik"/>
        <w:numPr>
          <w:ilvl w:val="2"/>
          <w:numId w:val="2"/>
        </w:numPr>
        <w:spacing w:line="259" w:lineRule="auto"/>
        <w:ind w:left="567" w:hanging="283"/>
        <w:jc w:val="both"/>
      </w:pPr>
      <w:r>
        <w:t>Avakoosolek hiljemalt 10 tööpäeva jooksul peale lepingu sõlmimist. Avakoosolekul tutvustab Pakkuja oma meeskonda ja Tellija omapoolset meeskonda. Tellija selgita</w:t>
      </w:r>
      <w:r w:rsidR="006B223D">
        <w:t>b</w:t>
      </w:r>
      <w:r>
        <w:t xml:space="preserve"> uuringu koostamise vajadust, eesmärki ja ootusi uuringule. Pakkuja tutvustab uuringu läbiviimise metoodikat.</w:t>
      </w:r>
    </w:p>
    <w:p w14:paraId="249E4C5A" w14:textId="1B0D3786" w:rsidR="0014084B" w:rsidRDefault="0014084B" w:rsidP="0014084B">
      <w:pPr>
        <w:pStyle w:val="Loendilik"/>
        <w:numPr>
          <w:ilvl w:val="2"/>
          <w:numId w:val="2"/>
        </w:numPr>
        <w:spacing w:line="259" w:lineRule="auto"/>
        <w:ind w:left="567" w:hanging="283"/>
        <w:jc w:val="both"/>
      </w:pPr>
      <w:r>
        <w:t>Vahekoosolek, kus Pakkuja tutvustab valimi koostamise põhimõtteid</w:t>
      </w:r>
      <w:r w:rsidR="0011334B">
        <w:t xml:space="preserve"> ja </w:t>
      </w:r>
      <w:r w:rsidR="0011334B">
        <w:t>esmase inventeerimise tulemusi</w:t>
      </w:r>
      <w:r>
        <w:t>. Kooskõlastatakse valim uuringu läbiviimiseks.</w:t>
      </w:r>
    </w:p>
    <w:p w14:paraId="67E3D28A" w14:textId="7A523C20" w:rsidR="0014084B" w:rsidRDefault="0014084B" w:rsidP="0014084B">
      <w:pPr>
        <w:pStyle w:val="Loendilik"/>
        <w:numPr>
          <w:ilvl w:val="2"/>
          <w:numId w:val="2"/>
        </w:numPr>
        <w:spacing w:line="259" w:lineRule="auto"/>
        <w:ind w:left="567" w:hanging="283"/>
        <w:jc w:val="both"/>
      </w:pPr>
      <w:r>
        <w:t>Vahekoosolek, kus Pakkuja tutvustab esialgseid tähelepanekuid, ettepankuid jms, mis on olulised eesmärgi saavutamiseks.</w:t>
      </w:r>
    </w:p>
    <w:p w14:paraId="2A10DAAA" w14:textId="77777777" w:rsidR="0014084B" w:rsidRDefault="0014084B" w:rsidP="0014084B">
      <w:pPr>
        <w:pStyle w:val="Loendilik"/>
        <w:numPr>
          <w:ilvl w:val="2"/>
          <w:numId w:val="2"/>
        </w:numPr>
        <w:spacing w:line="259" w:lineRule="auto"/>
        <w:ind w:left="567" w:hanging="283"/>
        <w:jc w:val="both"/>
      </w:pPr>
      <w:r>
        <w:t xml:space="preserve">Uuringu lõpliku vormistamise eelne koosolek, kus Pakkuja tutvustab uuringut ning Telliaja teeb omapoolsed märkused ja ettepanekud ning otsustatakse aruande heakskiitmine. </w:t>
      </w:r>
    </w:p>
    <w:p w14:paraId="63A18020" w14:textId="37AE07DD" w:rsidR="0014084B" w:rsidRDefault="0014084B" w:rsidP="0014084B">
      <w:pPr>
        <w:pStyle w:val="Loendilik"/>
        <w:numPr>
          <w:ilvl w:val="2"/>
          <w:numId w:val="2"/>
        </w:numPr>
        <w:spacing w:line="259" w:lineRule="auto"/>
        <w:ind w:left="567" w:hanging="283"/>
        <w:jc w:val="both"/>
      </w:pPr>
      <w:r>
        <w:t xml:space="preserve">Uuringut tutvustatakse ühel kohaliku omavalitsuse poolt organiseeritud avalikul arutelul Valgas. </w:t>
      </w:r>
    </w:p>
    <w:p w14:paraId="45BD39B2" w14:textId="77777777" w:rsidR="0014084B" w:rsidRDefault="0014084B" w:rsidP="0014084B">
      <w:pPr>
        <w:pStyle w:val="Loendilik"/>
        <w:numPr>
          <w:ilvl w:val="1"/>
          <w:numId w:val="2"/>
        </w:numPr>
        <w:spacing w:line="259" w:lineRule="auto"/>
        <w:ind w:left="426"/>
        <w:jc w:val="both"/>
      </w:pPr>
      <w:r>
        <w:t>Koosolekuteks ja esitlusteks vajalikud materjalid valmistab ette Pakkuja ning esitab need Tellijale tutvumiseks vähemalt 5 tööpäeva enne töökoosolekut või esitluse päeva.</w:t>
      </w:r>
    </w:p>
    <w:p w14:paraId="2A225455" w14:textId="54E1F662" w:rsidR="00832A94" w:rsidRPr="000150FB" w:rsidRDefault="0014084B" w:rsidP="0014084B">
      <w:pPr>
        <w:pStyle w:val="Pealkiri3"/>
        <w:numPr>
          <w:ilvl w:val="0"/>
          <w:numId w:val="2"/>
        </w:numPr>
        <w:rPr>
          <w:color w:val="00B050"/>
        </w:rPr>
      </w:pPr>
      <w:r>
        <w:rPr>
          <w:color w:val="00B050"/>
        </w:rPr>
        <w:t>Uuringu vormistamine</w:t>
      </w:r>
    </w:p>
    <w:p w14:paraId="6F8753FF" w14:textId="7FB27271" w:rsidR="0014084B" w:rsidRDefault="001852AF" w:rsidP="001852AF">
      <w:pPr>
        <w:pStyle w:val="Loendilik"/>
        <w:numPr>
          <w:ilvl w:val="1"/>
          <w:numId w:val="2"/>
        </w:numPr>
        <w:spacing w:line="259" w:lineRule="auto"/>
        <w:ind w:left="426" w:hanging="426"/>
        <w:jc w:val="both"/>
      </w:pPr>
      <w:r>
        <w:t>Töö</w:t>
      </w:r>
      <w:r w:rsidR="0014084B">
        <w:t xml:space="preserve"> vormistatakse </w:t>
      </w:r>
      <w:proofErr w:type="spellStart"/>
      <w:r w:rsidR="0014084B">
        <w:t>tekstilises</w:t>
      </w:r>
      <w:proofErr w:type="spellEnd"/>
      <w:r w:rsidR="0014084B">
        <w:t xml:space="preserve"> ja </w:t>
      </w:r>
      <w:proofErr w:type="spellStart"/>
      <w:r w:rsidR="0014084B">
        <w:t>joonilselises</w:t>
      </w:r>
      <w:proofErr w:type="spellEnd"/>
      <w:r w:rsidR="0014084B">
        <w:t xml:space="preserve"> vormis, mis täiendavad üksteist.</w:t>
      </w:r>
    </w:p>
    <w:p w14:paraId="35AE6016" w14:textId="38525D3D" w:rsidR="0014084B" w:rsidRDefault="0014084B" w:rsidP="001852AF">
      <w:pPr>
        <w:pStyle w:val="Loendilik"/>
        <w:numPr>
          <w:ilvl w:val="1"/>
          <w:numId w:val="2"/>
        </w:numPr>
        <w:spacing w:line="259" w:lineRule="auto"/>
        <w:ind w:left="426" w:hanging="426"/>
        <w:jc w:val="both"/>
      </w:pPr>
      <w:r>
        <w:t xml:space="preserve">Pakkuja peab esitama </w:t>
      </w:r>
      <w:r w:rsidR="00306048">
        <w:t>töö</w:t>
      </w:r>
      <w:r>
        <w:t xml:space="preserve"> eesti keeles, korrektselt vormistatult ja keeleliselt toimetatult.</w:t>
      </w:r>
    </w:p>
    <w:p w14:paraId="7E71679B" w14:textId="38886C5C" w:rsidR="0014084B" w:rsidRDefault="0014084B" w:rsidP="001852AF">
      <w:pPr>
        <w:pStyle w:val="Loendilik"/>
        <w:numPr>
          <w:ilvl w:val="1"/>
          <w:numId w:val="2"/>
        </w:numPr>
        <w:spacing w:line="259" w:lineRule="auto"/>
        <w:ind w:left="426" w:hanging="426"/>
        <w:jc w:val="both"/>
      </w:pPr>
      <w:r>
        <w:t xml:space="preserve">Lisaks uuringule </w:t>
      </w:r>
      <w:r w:rsidR="00306048">
        <w:t xml:space="preserve">aruandele </w:t>
      </w:r>
      <w:r>
        <w:t>vormistatakse uuringu lühikokkuvõte (2-3 lk),</w:t>
      </w:r>
    </w:p>
    <w:p w14:paraId="5FA0A9C8" w14:textId="08C8B4CD" w:rsidR="0014084B" w:rsidRDefault="0014084B" w:rsidP="001852AF">
      <w:pPr>
        <w:pStyle w:val="Loendilik"/>
        <w:numPr>
          <w:ilvl w:val="1"/>
          <w:numId w:val="2"/>
        </w:numPr>
        <w:spacing w:line="259" w:lineRule="auto"/>
        <w:ind w:left="426" w:hanging="426"/>
        <w:jc w:val="both"/>
      </w:pPr>
      <w:r>
        <w:t>Uuring antakse Tellijale üle 1 eksemplar paberkandjal köidetult ja digitaalselt</w:t>
      </w:r>
      <w:r w:rsidR="0011334B">
        <w:t xml:space="preserve"> failidena</w:t>
      </w:r>
      <w:r>
        <w:t>.</w:t>
      </w:r>
    </w:p>
    <w:p w14:paraId="319E3CE4" w14:textId="28304E46" w:rsidR="0014084B" w:rsidRDefault="0014084B" w:rsidP="001852AF">
      <w:pPr>
        <w:pStyle w:val="Loendilik"/>
        <w:numPr>
          <w:ilvl w:val="1"/>
          <w:numId w:val="2"/>
        </w:numPr>
        <w:spacing w:line="259" w:lineRule="auto"/>
        <w:ind w:left="426" w:hanging="426"/>
        <w:jc w:val="both"/>
      </w:pPr>
      <w:r>
        <w:t>Digitaalselt esitatud uuring</w:t>
      </w:r>
      <w:r w:rsidR="0011334B">
        <w:t>u failid</w:t>
      </w:r>
      <w:r>
        <w:t xml:space="preserve"> peab olema vormistatud järgnevalt:</w:t>
      </w:r>
    </w:p>
    <w:p w14:paraId="1E92CB80" w14:textId="77777777" w:rsidR="0014084B" w:rsidRDefault="0014084B" w:rsidP="001852AF">
      <w:pPr>
        <w:pStyle w:val="Loendilik"/>
        <w:numPr>
          <w:ilvl w:val="2"/>
          <w:numId w:val="2"/>
        </w:numPr>
        <w:spacing w:line="259" w:lineRule="auto"/>
        <w:ind w:left="567" w:hanging="284"/>
        <w:jc w:val="both"/>
      </w:pPr>
      <w:proofErr w:type="spellStart"/>
      <w:r>
        <w:t>Tekstiline</w:t>
      </w:r>
      <w:proofErr w:type="spellEnd"/>
      <w:r>
        <w:t xml:space="preserve"> osa ja andmebaasid peavad olema vormistatud masinloetaval kujul (vabavaraline tarkvara või Word, Excel programmis avatavana),</w:t>
      </w:r>
    </w:p>
    <w:p w14:paraId="0095AAB8" w14:textId="4D8A0097" w:rsidR="0014084B" w:rsidRDefault="0014084B" w:rsidP="001852AF">
      <w:pPr>
        <w:pStyle w:val="Loendilik"/>
        <w:numPr>
          <w:ilvl w:val="2"/>
          <w:numId w:val="2"/>
        </w:numPr>
        <w:spacing w:line="259" w:lineRule="auto"/>
        <w:ind w:left="567" w:hanging="284"/>
        <w:jc w:val="both"/>
      </w:pPr>
      <w:r>
        <w:lastRenderedPageBreak/>
        <w:t xml:space="preserve">Joonised on soovitav esitada </w:t>
      </w:r>
      <w:proofErr w:type="spellStart"/>
      <w:r>
        <w:t>ArcGis</w:t>
      </w:r>
      <w:proofErr w:type="spellEnd"/>
      <w:r>
        <w:t xml:space="preserve"> programmi </w:t>
      </w:r>
      <w:proofErr w:type="spellStart"/>
      <w:r>
        <w:t>geoandmebaasi</w:t>
      </w:r>
      <w:proofErr w:type="spellEnd"/>
      <w:r>
        <w:t xml:space="preserve"> või kaardikihtidena või mõnes muus levinud </w:t>
      </w:r>
      <w:proofErr w:type="spellStart"/>
      <w:r>
        <w:t>gis</w:t>
      </w:r>
      <w:proofErr w:type="spellEnd"/>
      <w:r>
        <w:t>-tarkvara formaadis,</w:t>
      </w:r>
    </w:p>
    <w:p w14:paraId="08C317AF" w14:textId="77777777" w:rsidR="0014084B" w:rsidRDefault="0014084B" w:rsidP="001852AF">
      <w:pPr>
        <w:pStyle w:val="Loendilik"/>
        <w:numPr>
          <w:ilvl w:val="2"/>
          <w:numId w:val="2"/>
        </w:numPr>
        <w:spacing w:line="259" w:lineRule="auto"/>
        <w:ind w:left="567" w:hanging="284"/>
        <w:jc w:val="both"/>
      </w:pPr>
      <w:r>
        <w:t>Illustreerivad fotod on süstematiseeritud ja esitatud digitaalselt,</w:t>
      </w:r>
    </w:p>
    <w:p w14:paraId="3F7048F3" w14:textId="4246A9B3" w:rsidR="0014084B" w:rsidRDefault="0014084B" w:rsidP="001852AF">
      <w:pPr>
        <w:pStyle w:val="Loendilik"/>
        <w:numPr>
          <w:ilvl w:val="2"/>
          <w:numId w:val="2"/>
        </w:numPr>
        <w:spacing w:line="259" w:lineRule="auto"/>
        <w:ind w:left="567" w:hanging="284"/>
        <w:jc w:val="both"/>
      </w:pPr>
      <w:r>
        <w:t xml:space="preserve">Kogu </w:t>
      </w:r>
      <w:r w:rsidR="001852AF">
        <w:t>töö</w:t>
      </w:r>
      <w:r>
        <w:t xml:space="preserve"> komplekteeritakse </w:t>
      </w:r>
      <w:r w:rsidR="0011334B">
        <w:t xml:space="preserve">ka </w:t>
      </w:r>
      <w:r>
        <w:t xml:space="preserve">üheks </w:t>
      </w:r>
      <w:proofErr w:type="spellStart"/>
      <w:r>
        <w:t>pdf</w:t>
      </w:r>
      <w:proofErr w:type="spellEnd"/>
      <w:r>
        <w:t>-failiks.</w:t>
      </w:r>
    </w:p>
    <w:p w14:paraId="5E0CC8B6" w14:textId="5906D9B5" w:rsidR="00832A94" w:rsidRPr="000150FB" w:rsidRDefault="00A07F00" w:rsidP="00A07F00">
      <w:pPr>
        <w:pStyle w:val="Pealkiri3"/>
        <w:numPr>
          <w:ilvl w:val="0"/>
          <w:numId w:val="2"/>
        </w:numPr>
        <w:rPr>
          <w:color w:val="00B050"/>
        </w:rPr>
      </w:pPr>
      <w:r>
        <w:rPr>
          <w:color w:val="00B050"/>
        </w:rPr>
        <w:t>Täiendavad nõ</w:t>
      </w:r>
      <w:bookmarkStart w:id="1" w:name="_GoBack"/>
      <w:bookmarkEnd w:id="1"/>
      <w:r>
        <w:rPr>
          <w:color w:val="00B050"/>
        </w:rPr>
        <w:t>udmised</w:t>
      </w:r>
    </w:p>
    <w:p w14:paraId="06824654" w14:textId="77777777" w:rsidR="00A07F00" w:rsidRDefault="00A07F00" w:rsidP="00A07F00">
      <w:pPr>
        <w:pStyle w:val="Loendilik"/>
        <w:numPr>
          <w:ilvl w:val="1"/>
          <w:numId w:val="2"/>
        </w:numPr>
        <w:spacing w:line="259" w:lineRule="auto"/>
        <w:jc w:val="both"/>
      </w:pPr>
      <w:r>
        <w:t xml:space="preserve">Pakkuja peab uuringu tegevuste läbiviimiseks moodustama uuringu meeskonna. </w:t>
      </w:r>
    </w:p>
    <w:p w14:paraId="4ED0C939" w14:textId="6A3B4BC1" w:rsidR="00A07F00" w:rsidRDefault="00A07F00" w:rsidP="006A2067">
      <w:pPr>
        <w:pStyle w:val="Loendilik"/>
        <w:numPr>
          <w:ilvl w:val="1"/>
          <w:numId w:val="2"/>
        </w:numPr>
        <w:spacing w:line="259" w:lineRule="auto"/>
        <w:jc w:val="both"/>
      </w:pPr>
      <w:r>
        <w:t xml:space="preserve">Uuringu meeskonnas peab olema vähemalt üks </w:t>
      </w:r>
      <w:r w:rsidR="006A2067">
        <w:t>energeetika insener või energiaauditi tegemiseks vajaliku kvalifikatsiooniga isik.</w:t>
      </w:r>
      <w:r>
        <w:t xml:space="preserve"> </w:t>
      </w:r>
    </w:p>
    <w:p w14:paraId="3AC47F33" w14:textId="77777777" w:rsidR="00A07F00" w:rsidRDefault="00A07F00" w:rsidP="00A07F00">
      <w:pPr>
        <w:pStyle w:val="Loendilik"/>
        <w:numPr>
          <w:ilvl w:val="1"/>
          <w:numId w:val="2"/>
        </w:numPr>
        <w:spacing w:line="259" w:lineRule="auto"/>
        <w:jc w:val="both"/>
      </w:pPr>
      <w:r>
        <w:t>Uuringu meeskonna juht vastutab kogu uuringu tegevuste tulemusliku, tähtaegse ning nõuetele vastavuse eest. Sealhulgas juhib ja koordineerib uuringu meeskonna tööd, on kontaktisik Tellijale lepingu täitmise aja jooksul.</w:t>
      </w:r>
    </w:p>
    <w:p w14:paraId="74E95232" w14:textId="7B73944F" w:rsidR="00A07F00" w:rsidRDefault="00A07F00" w:rsidP="00A07F00">
      <w:pPr>
        <w:pStyle w:val="Loendilik"/>
        <w:numPr>
          <w:ilvl w:val="1"/>
          <w:numId w:val="2"/>
        </w:numPr>
        <w:spacing w:line="259" w:lineRule="auto"/>
        <w:jc w:val="both"/>
      </w:pPr>
      <w:r>
        <w:t>Uuringu tulemused kuuluvad Tellijale.</w:t>
      </w:r>
    </w:p>
    <w:p w14:paraId="2C96BD09" w14:textId="77777777" w:rsidR="00832A94" w:rsidRPr="00832A94" w:rsidRDefault="00832A94" w:rsidP="00832A94"/>
    <w:sectPr w:rsidR="00832A94" w:rsidRPr="00832A94" w:rsidSect="000150FB">
      <w:headerReference w:type="default" r:id="rId9"/>
      <w:pgSz w:w="11906" w:h="16838"/>
      <w:pgMar w:top="1701" w:right="851" w:bottom="170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CEDDF5" w14:textId="77777777" w:rsidR="00FB572F" w:rsidRDefault="00FB572F" w:rsidP="00DD1D04">
      <w:pPr>
        <w:spacing w:after="0" w:line="240" w:lineRule="auto"/>
      </w:pPr>
      <w:r>
        <w:separator/>
      </w:r>
    </w:p>
  </w:endnote>
  <w:endnote w:type="continuationSeparator" w:id="0">
    <w:p w14:paraId="4128995F" w14:textId="77777777" w:rsidR="00FB572F" w:rsidRDefault="00FB572F" w:rsidP="00DD1D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Calibri Light">
    <w:panose1 w:val="020F0302020204030204"/>
    <w:charset w:val="BA"/>
    <w:family w:val="swiss"/>
    <w:pitch w:val="variable"/>
    <w:sig w:usb0="E0002A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1B1766" w14:textId="77777777" w:rsidR="00FB572F" w:rsidRDefault="00FB572F" w:rsidP="00DD1D04">
      <w:pPr>
        <w:spacing w:after="0" w:line="240" w:lineRule="auto"/>
      </w:pPr>
      <w:r>
        <w:separator/>
      </w:r>
    </w:p>
  </w:footnote>
  <w:footnote w:type="continuationSeparator" w:id="0">
    <w:p w14:paraId="1BDB9E8C" w14:textId="77777777" w:rsidR="00FB572F" w:rsidRDefault="00FB572F" w:rsidP="00DD1D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CellMar>
        <w:left w:w="0" w:type="dxa"/>
        <w:right w:w="0" w:type="dxa"/>
      </w:tblCellMar>
      <w:tblLook w:val="04A0" w:firstRow="1" w:lastRow="0" w:firstColumn="1" w:lastColumn="0" w:noHBand="0" w:noVBand="1"/>
    </w:tblPr>
    <w:tblGrid>
      <w:gridCol w:w="3118"/>
      <w:gridCol w:w="3119"/>
      <w:gridCol w:w="3117"/>
    </w:tblGrid>
    <w:tr w:rsidR="00DD1D04" w14:paraId="005429AC" w14:textId="77777777">
      <w:trPr>
        <w:trHeight w:val="720"/>
      </w:trPr>
      <w:tc>
        <w:tcPr>
          <w:tcW w:w="1667" w:type="pct"/>
        </w:tcPr>
        <w:p w14:paraId="1219275D" w14:textId="77777777" w:rsidR="00DD1D04" w:rsidRDefault="00DD1D04">
          <w:pPr>
            <w:pStyle w:val="Pis"/>
            <w:rPr>
              <w:color w:val="00B050" w:themeColor="accent1"/>
            </w:rPr>
          </w:pPr>
          <w:r>
            <w:rPr>
              <w:noProof/>
              <w:color w:val="00B050" w:themeColor="accent1"/>
              <w:lang w:eastAsia="et-EE"/>
            </w:rPr>
            <w:drawing>
              <wp:anchor distT="0" distB="0" distL="114300" distR="114300" simplePos="0" relativeHeight="251658240" behindDoc="0" locked="0" layoutInCell="1" allowOverlap="1" wp14:anchorId="14B48AC2" wp14:editId="6D3BE986">
                <wp:simplePos x="0" y="0"/>
                <wp:positionH relativeFrom="column">
                  <wp:posOffset>0</wp:posOffset>
                </wp:positionH>
                <wp:positionV relativeFrom="paragraph">
                  <wp:posOffset>635</wp:posOffset>
                </wp:positionV>
                <wp:extent cx="298800" cy="356400"/>
                <wp:effectExtent l="0" t="0" r="6350" b="5715"/>
                <wp:wrapSquare wrapText="bothSides"/>
                <wp:docPr id="12" name="Pilt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420px-Valga_valla_vapp.svg.png"/>
                        <pic:cNvPicPr/>
                      </pic:nvPicPr>
                      <pic:blipFill>
                        <a:blip r:embed="rId1">
                          <a:extLst>
                            <a:ext uri="{28A0092B-C50C-407E-A947-70E740481C1C}">
                              <a14:useLocalDpi xmlns:a14="http://schemas.microsoft.com/office/drawing/2010/main" val="0"/>
                            </a:ext>
                          </a:extLst>
                        </a:blip>
                        <a:stretch>
                          <a:fillRect/>
                        </a:stretch>
                      </pic:blipFill>
                      <pic:spPr>
                        <a:xfrm>
                          <a:off x="0" y="0"/>
                          <a:ext cx="298800" cy="356400"/>
                        </a:xfrm>
                        <a:prstGeom prst="rect">
                          <a:avLst/>
                        </a:prstGeom>
                      </pic:spPr>
                    </pic:pic>
                  </a:graphicData>
                </a:graphic>
                <wp14:sizeRelH relativeFrom="margin">
                  <wp14:pctWidth>0</wp14:pctWidth>
                </wp14:sizeRelH>
                <wp14:sizeRelV relativeFrom="margin">
                  <wp14:pctHeight>0</wp14:pctHeight>
                </wp14:sizeRelV>
              </wp:anchor>
            </w:drawing>
          </w:r>
          <w:r>
            <w:rPr>
              <w:color w:val="00B050" w:themeColor="accent1"/>
            </w:rPr>
            <w:t>VALGA VALLAVALITSUS</w:t>
          </w:r>
        </w:p>
      </w:tc>
      <w:tc>
        <w:tcPr>
          <w:tcW w:w="1667" w:type="pct"/>
        </w:tcPr>
        <w:p w14:paraId="6A07D18E" w14:textId="77777777" w:rsidR="00DD1D04" w:rsidRDefault="00DD1D04">
          <w:pPr>
            <w:pStyle w:val="Pis"/>
            <w:jc w:val="center"/>
            <w:rPr>
              <w:color w:val="00B050" w:themeColor="accent1"/>
            </w:rPr>
          </w:pPr>
        </w:p>
      </w:tc>
      <w:tc>
        <w:tcPr>
          <w:tcW w:w="1666" w:type="pct"/>
        </w:tcPr>
        <w:p w14:paraId="48FF2C52" w14:textId="77777777" w:rsidR="00DD1D04" w:rsidRDefault="00DD1D04">
          <w:pPr>
            <w:pStyle w:val="Pis"/>
            <w:jc w:val="right"/>
            <w:rPr>
              <w:color w:val="00B050" w:themeColor="accent1"/>
            </w:rPr>
          </w:pPr>
          <w:r>
            <w:rPr>
              <w:color w:val="00B050" w:themeColor="accent1"/>
              <w:sz w:val="24"/>
              <w:szCs w:val="24"/>
            </w:rPr>
            <w:fldChar w:fldCharType="begin"/>
          </w:r>
          <w:r>
            <w:rPr>
              <w:color w:val="00B050" w:themeColor="accent1"/>
              <w:sz w:val="24"/>
              <w:szCs w:val="24"/>
            </w:rPr>
            <w:instrText>PAGE   \* MERGEFORMAT</w:instrText>
          </w:r>
          <w:r>
            <w:rPr>
              <w:color w:val="00B050" w:themeColor="accent1"/>
              <w:sz w:val="24"/>
              <w:szCs w:val="24"/>
            </w:rPr>
            <w:fldChar w:fldCharType="separate"/>
          </w:r>
          <w:r w:rsidR="00D961C5">
            <w:rPr>
              <w:noProof/>
              <w:color w:val="00B050" w:themeColor="accent1"/>
              <w:sz w:val="24"/>
              <w:szCs w:val="24"/>
            </w:rPr>
            <w:t>1</w:t>
          </w:r>
          <w:r>
            <w:rPr>
              <w:color w:val="00B050" w:themeColor="accent1"/>
              <w:sz w:val="24"/>
              <w:szCs w:val="24"/>
            </w:rPr>
            <w:fldChar w:fldCharType="end"/>
          </w:r>
        </w:p>
      </w:tc>
    </w:tr>
  </w:tbl>
  <w:p w14:paraId="37CF63D5" w14:textId="77777777" w:rsidR="00DD1D04" w:rsidRDefault="00DD1D04">
    <w:pPr>
      <w:pStyle w:val="Pi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D57D9"/>
    <w:multiLevelType w:val="multilevel"/>
    <w:tmpl w:val="CE74E772"/>
    <w:lvl w:ilvl="0">
      <w:start w:val="1"/>
      <w:numFmt w:val="decimal"/>
      <w:lvlText w:val="%1."/>
      <w:lvlJc w:val="left"/>
      <w:pPr>
        <w:ind w:left="720" w:hanging="360"/>
      </w:pPr>
      <w:rPr>
        <w:rFonts w:hint="default"/>
      </w:rPr>
    </w:lvl>
    <w:lvl w:ilvl="1">
      <w:start w:val="1"/>
      <w:numFmt w:val="decimal"/>
      <w:isLgl/>
      <w:lvlText w:val="%1.%2."/>
      <w:lvlJc w:val="left"/>
      <w:pPr>
        <w:ind w:left="644" w:hanging="360"/>
      </w:pPr>
      <w:rPr>
        <w:rFonts w:hint="default"/>
      </w:rPr>
    </w:lvl>
    <w:lvl w:ilvl="2">
      <w:start w:val="1"/>
      <w:numFmt w:val="bullet"/>
      <w:lvlText w:val="­"/>
      <w:lvlJc w:val="left"/>
      <w:pPr>
        <w:ind w:left="1080" w:hanging="720"/>
      </w:pPr>
      <w:rPr>
        <w:rFonts w:ascii="Courier New" w:hAnsi="Courier New" w:hint="default"/>
      </w:rPr>
    </w:lvl>
    <w:lvl w:ilvl="3">
      <w:start w:val="1"/>
      <w:numFmt w:val="bullet"/>
      <w:lvlText w:val=""/>
      <w:lvlJc w:val="left"/>
      <w:pPr>
        <w:ind w:left="1080" w:hanging="720"/>
      </w:pPr>
      <w:rPr>
        <w:rFonts w:ascii="Symbol" w:hAnsi="Symbol"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15:restartNumberingAfterBreak="0">
    <w:nsid w:val="47555241"/>
    <w:multiLevelType w:val="multilevel"/>
    <w:tmpl w:val="A07071AA"/>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bullet"/>
      <w:lvlText w:val="­"/>
      <w:lvlJc w:val="left"/>
      <w:pPr>
        <w:ind w:left="1080" w:hanging="720"/>
      </w:pPr>
      <w:rPr>
        <w:rFonts w:ascii="Courier New" w:hAnsi="Courier New"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5DAC6620"/>
    <w:multiLevelType w:val="hybridMultilevel"/>
    <w:tmpl w:val="4CCC7C8C"/>
    <w:lvl w:ilvl="0" w:tplc="EF76144C">
      <w:start w:val="1"/>
      <w:numFmt w:val="bullet"/>
      <w:lvlText w:val="­"/>
      <w:lvlJc w:val="left"/>
      <w:pPr>
        <w:ind w:left="720" w:hanging="360"/>
      </w:pPr>
      <w:rPr>
        <w:rFonts w:ascii="Courier New" w:hAnsi="Courier New"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1A89"/>
    <w:rsid w:val="000033B9"/>
    <w:rsid w:val="000150FB"/>
    <w:rsid w:val="000207B9"/>
    <w:rsid w:val="00053DB7"/>
    <w:rsid w:val="00070623"/>
    <w:rsid w:val="0007614F"/>
    <w:rsid w:val="00083A56"/>
    <w:rsid w:val="000D31B8"/>
    <w:rsid w:val="0011334B"/>
    <w:rsid w:val="00114F27"/>
    <w:rsid w:val="001308D0"/>
    <w:rsid w:val="0014084B"/>
    <w:rsid w:val="00144EFF"/>
    <w:rsid w:val="001566DE"/>
    <w:rsid w:val="001627E7"/>
    <w:rsid w:val="001852AF"/>
    <w:rsid w:val="001C5195"/>
    <w:rsid w:val="001D56F4"/>
    <w:rsid w:val="001F10AF"/>
    <w:rsid w:val="00251CA4"/>
    <w:rsid w:val="002D6A69"/>
    <w:rsid w:val="00306048"/>
    <w:rsid w:val="00315C9F"/>
    <w:rsid w:val="00377581"/>
    <w:rsid w:val="00394600"/>
    <w:rsid w:val="00417C32"/>
    <w:rsid w:val="00481684"/>
    <w:rsid w:val="00492B32"/>
    <w:rsid w:val="00525A80"/>
    <w:rsid w:val="005447F2"/>
    <w:rsid w:val="005473CF"/>
    <w:rsid w:val="00571A89"/>
    <w:rsid w:val="005D000F"/>
    <w:rsid w:val="005D0091"/>
    <w:rsid w:val="005D36D7"/>
    <w:rsid w:val="005E1198"/>
    <w:rsid w:val="00606663"/>
    <w:rsid w:val="00670835"/>
    <w:rsid w:val="00673D0E"/>
    <w:rsid w:val="006A2067"/>
    <w:rsid w:val="006B223D"/>
    <w:rsid w:val="006B6E68"/>
    <w:rsid w:val="00784DE7"/>
    <w:rsid w:val="00832A94"/>
    <w:rsid w:val="00843E97"/>
    <w:rsid w:val="008E6318"/>
    <w:rsid w:val="00907112"/>
    <w:rsid w:val="00A07F00"/>
    <w:rsid w:val="00A44F8E"/>
    <w:rsid w:val="00A65959"/>
    <w:rsid w:val="00A763D3"/>
    <w:rsid w:val="00A94652"/>
    <w:rsid w:val="00AA513E"/>
    <w:rsid w:val="00AE63A8"/>
    <w:rsid w:val="00B144AF"/>
    <w:rsid w:val="00B24E21"/>
    <w:rsid w:val="00BE1162"/>
    <w:rsid w:val="00BE3A61"/>
    <w:rsid w:val="00C4597F"/>
    <w:rsid w:val="00C61775"/>
    <w:rsid w:val="00CC100F"/>
    <w:rsid w:val="00CD25AD"/>
    <w:rsid w:val="00CF7FB5"/>
    <w:rsid w:val="00D763F2"/>
    <w:rsid w:val="00D961C5"/>
    <w:rsid w:val="00DA79D6"/>
    <w:rsid w:val="00DC39F2"/>
    <w:rsid w:val="00DD1D04"/>
    <w:rsid w:val="00E71F33"/>
    <w:rsid w:val="00ED024C"/>
    <w:rsid w:val="00F02549"/>
    <w:rsid w:val="00F02B7C"/>
    <w:rsid w:val="00F2053F"/>
    <w:rsid w:val="00FB572F"/>
    <w:rsid w:val="00FC1AF2"/>
    <w:rsid w:val="00FE0932"/>
    <w:rsid w:val="00FF05E5"/>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EF7F3B"/>
  <w15:docId w15:val="{D1B1A2EF-CADB-4B24-85B1-65BA9462DE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1"/>
        <w:szCs w:val="21"/>
        <w:lang w:val="et-EE" w:eastAsia="en-US" w:bidi="ar-SA"/>
      </w:rPr>
    </w:rPrDefault>
    <w:pPrDefault>
      <w:pPr>
        <w:spacing w:after="16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0150FB"/>
  </w:style>
  <w:style w:type="paragraph" w:styleId="Pealkiri1">
    <w:name w:val="heading 1"/>
    <w:basedOn w:val="Normaallaad"/>
    <w:next w:val="Normaallaad"/>
    <w:link w:val="Pealkiri1Mrk"/>
    <w:uiPriority w:val="9"/>
    <w:qFormat/>
    <w:rsid w:val="000150FB"/>
    <w:pPr>
      <w:keepNext/>
      <w:keepLines/>
      <w:spacing w:before="320" w:after="80" w:line="240" w:lineRule="auto"/>
      <w:jc w:val="center"/>
      <w:outlineLvl w:val="0"/>
    </w:pPr>
    <w:rPr>
      <w:rFonts w:asciiTheme="majorHAnsi" w:eastAsiaTheme="majorEastAsia" w:hAnsiTheme="majorHAnsi" w:cstheme="majorBidi"/>
      <w:color w:val="00833B" w:themeColor="accent1" w:themeShade="BF"/>
      <w:sz w:val="40"/>
      <w:szCs w:val="40"/>
    </w:rPr>
  </w:style>
  <w:style w:type="paragraph" w:styleId="Pealkiri2">
    <w:name w:val="heading 2"/>
    <w:basedOn w:val="Normaallaad"/>
    <w:next w:val="Normaallaad"/>
    <w:link w:val="Pealkiri2Mrk"/>
    <w:uiPriority w:val="9"/>
    <w:unhideWhenUsed/>
    <w:qFormat/>
    <w:rsid w:val="000150FB"/>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Pealkiri3">
    <w:name w:val="heading 3"/>
    <w:basedOn w:val="Normaallaad"/>
    <w:next w:val="Normaallaad"/>
    <w:link w:val="Pealkiri3Mrk"/>
    <w:uiPriority w:val="9"/>
    <w:unhideWhenUsed/>
    <w:qFormat/>
    <w:rsid w:val="000150FB"/>
    <w:pPr>
      <w:keepNext/>
      <w:keepLines/>
      <w:spacing w:before="160" w:after="0" w:line="240" w:lineRule="auto"/>
      <w:outlineLvl w:val="2"/>
    </w:pPr>
    <w:rPr>
      <w:rFonts w:asciiTheme="majorHAnsi" w:eastAsiaTheme="majorEastAsia" w:hAnsiTheme="majorHAnsi" w:cstheme="majorBidi"/>
      <w:sz w:val="32"/>
      <w:szCs w:val="32"/>
    </w:rPr>
  </w:style>
  <w:style w:type="paragraph" w:styleId="Pealkiri4">
    <w:name w:val="heading 4"/>
    <w:basedOn w:val="Normaallaad"/>
    <w:next w:val="Normaallaad"/>
    <w:link w:val="Pealkiri4Mrk"/>
    <w:uiPriority w:val="9"/>
    <w:semiHidden/>
    <w:unhideWhenUsed/>
    <w:qFormat/>
    <w:rsid w:val="000150FB"/>
    <w:pPr>
      <w:keepNext/>
      <w:keepLines/>
      <w:spacing w:before="80" w:after="0"/>
      <w:outlineLvl w:val="3"/>
    </w:pPr>
    <w:rPr>
      <w:rFonts w:asciiTheme="majorHAnsi" w:eastAsiaTheme="majorEastAsia" w:hAnsiTheme="majorHAnsi" w:cstheme="majorBidi"/>
      <w:i/>
      <w:iCs/>
      <w:sz w:val="30"/>
      <w:szCs w:val="30"/>
    </w:rPr>
  </w:style>
  <w:style w:type="paragraph" w:styleId="Pealkiri5">
    <w:name w:val="heading 5"/>
    <w:basedOn w:val="Normaallaad"/>
    <w:next w:val="Normaallaad"/>
    <w:link w:val="Pealkiri5Mrk"/>
    <w:uiPriority w:val="9"/>
    <w:semiHidden/>
    <w:unhideWhenUsed/>
    <w:qFormat/>
    <w:rsid w:val="000150FB"/>
    <w:pPr>
      <w:keepNext/>
      <w:keepLines/>
      <w:spacing w:before="40" w:after="0"/>
      <w:outlineLvl w:val="4"/>
    </w:pPr>
    <w:rPr>
      <w:rFonts w:asciiTheme="majorHAnsi" w:eastAsiaTheme="majorEastAsia" w:hAnsiTheme="majorHAnsi" w:cstheme="majorBidi"/>
      <w:sz w:val="28"/>
      <w:szCs w:val="28"/>
    </w:rPr>
  </w:style>
  <w:style w:type="paragraph" w:styleId="Pealkiri6">
    <w:name w:val="heading 6"/>
    <w:basedOn w:val="Normaallaad"/>
    <w:next w:val="Normaallaad"/>
    <w:link w:val="Pealkiri6Mrk"/>
    <w:uiPriority w:val="9"/>
    <w:semiHidden/>
    <w:unhideWhenUsed/>
    <w:qFormat/>
    <w:rsid w:val="000150FB"/>
    <w:pPr>
      <w:keepNext/>
      <w:keepLines/>
      <w:spacing w:before="40" w:after="0"/>
      <w:outlineLvl w:val="5"/>
    </w:pPr>
    <w:rPr>
      <w:rFonts w:asciiTheme="majorHAnsi" w:eastAsiaTheme="majorEastAsia" w:hAnsiTheme="majorHAnsi" w:cstheme="majorBidi"/>
      <w:i/>
      <w:iCs/>
      <w:sz w:val="26"/>
      <w:szCs w:val="26"/>
    </w:rPr>
  </w:style>
  <w:style w:type="paragraph" w:styleId="Pealkiri7">
    <w:name w:val="heading 7"/>
    <w:basedOn w:val="Normaallaad"/>
    <w:next w:val="Normaallaad"/>
    <w:link w:val="Pealkiri7Mrk"/>
    <w:uiPriority w:val="9"/>
    <w:semiHidden/>
    <w:unhideWhenUsed/>
    <w:qFormat/>
    <w:rsid w:val="000150FB"/>
    <w:pPr>
      <w:keepNext/>
      <w:keepLines/>
      <w:spacing w:before="40" w:after="0"/>
      <w:outlineLvl w:val="6"/>
    </w:pPr>
    <w:rPr>
      <w:rFonts w:asciiTheme="majorHAnsi" w:eastAsiaTheme="majorEastAsia" w:hAnsiTheme="majorHAnsi" w:cstheme="majorBidi"/>
      <w:sz w:val="24"/>
      <w:szCs w:val="24"/>
    </w:rPr>
  </w:style>
  <w:style w:type="paragraph" w:styleId="Pealkiri8">
    <w:name w:val="heading 8"/>
    <w:basedOn w:val="Normaallaad"/>
    <w:next w:val="Normaallaad"/>
    <w:link w:val="Pealkiri8Mrk"/>
    <w:uiPriority w:val="9"/>
    <w:semiHidden/>
    <w:unhideWhenUsed/>
    <w:qFormat/>
    <w:rsid w:val="000150FB"/>
    <w:pPr>
      <w:keepNext/>
      <w:keepLines/>
      <w:spacing w:before="40" w:after="0"/>
      <w:outlineLvl w:val="7"/>
    </w:pPr>
    <w:rPr>
      <w:rFonts w:asciiTheme="majorHAnsi" w:eastAsiaTheme="majorEastAsia" w:hAnsiTheme="majorHAnsi" w:cstheme="majorBidi"/>
      <w:i/>
      <w:iCs/>
      <w:sz w:val="22"/>
      <w:szCs w:val="22"/>
    </w:rPr>
  </w:style>
  <w:style w:type="paragraph" w:styleId="Pealkiri9">
    <w:name w:val="heading 9"/>
    <w:basedOn w:val="Normaallaad"/>
    <w:next w:val="Normaallaad"/>
    <w:link w:val="Pealkiri9Mrk"/>
    <w:uiPriority w:val="9"/>
    <w:semiHidden/>
    <w:unhideWhenUsed/>
    <w:qFormat/>
    <w:rsid w:val="000150FB"/>
    <w:pPr>
      <w:keepNext/>
      <w:keepLines/>
      <w:spacing w:before="40" w:after="0"/>
      <w:outlineLvl w:val="8"/>
    </w:pPr>
    <w:rPr>
      <w:b/>
      <w:bCs/>
      <w:i/>
      <w:iCs/>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Pealkiri">
    <w:name w:val="Title"/>
    <w:basedOn w:val="Normaallaad"/>
    <w:next w:val="Normaallaad"/>
    <w:link w:val="PealkiriMrk"/>
    <w:uiPriority w:val="10"/>
    <w:qFormat/>
    <w:rsid w:val="000150FB"/>
    <w:pPr>
      <w:pBdr>
        <w:top w:val="single" w:sz="6" w:space="8" w:color="387025" w:themeColor="accent3"/>
        <w:bottom w:val="single" w:sz="6" w:space="8" w:color="387025" w:themeColor="accent3"/>
      </w:pBdr>
      <w:spacing w:after="400" w:line="240" w:lineRule="auto"/>
      <w:contextualSpacing/>
      <w:jc w:val="center"/>
    </w:pPr>
    <w:rPr>
      <w:rFonts w:asciiTheme="majorHAnsi" w:eastAsiaTheme="majorEastAsia" w:hAnsiTheme="majorHAnsi" w:cstheme="majorBidi"/>
      <w:caps/>
      <w:color w:val="387025" w:themeColor="text2"/>
      <w:spacing w:val="30"/>
      <w:sz w:val="72"/>
      <w:szCs w:val="72"/>
    </w:rPr>
  </w:style>
  <w:style w:type="character" w:customStyle="1" w:styleId="PealkiriMrk">
    <w:name w:val="Pealkiri Märk"/>
    <w:basedOn w:val="Liguvaikefont"/>
    <w:link w:val="Pealkiri"/>
    <w:uiPriority w:val="10"/>
    <w:rsid w:val="000150FB"/>
    <w:rPr>
      <w:rFonts w:asciiTheme="majorHAnsi" w:eastAsiaTheme="majorEastAsia" w:hAnsiTheme="majorHAnsi" w:cstheme="majorBidi"/>
      <w:caps/>
      <w:color w:val="387025" w:themeColor="text2"/>
      <w:spacing w:val="30"/>
      <w:sz w:val="72"/>
      <w:szCs w:val="72"/>
    </w:rPr>
  </w:style>
  <w:style w:type="character" w:customStyle="1" w:styleId="Pealkiri1Mrk">
    <w:name w:val="Pealkiri 1 Märk"/>
    <w:basedOn w:val="Liguvaikefont"/>
    <w:link w:val="Pealkiri1"/>
    <w:uiPriority w:val="9"/>
    <w:rsid w:val="000150FB"/>
    <w:rPr>
      <w:rFonts w:asciiTheme="majorHAnsi" w:eastAsiaTheme="majorEastAsia" w:hAnsiTheme="majorHAnsi" w:cstheme="majorBidi"/>
      <w:color w:val="00833B" w:themeColor="accent1" w:themeShade="BF"/>
      <w:sz w:val="40"/>
      <w:szCs w:val="40"/>
    </w:rPr>
  </w:style>
  <w:style w:type="character" w:customStyle="1" w:styleId="Pealkiri2Mrk">
    <w:name w:val="Pealkiri 2 Märk"/>
    <w:basedOn w:val="Liguvaikefont"/>
    <w:link w:val="Pealkiri2"/>
    <w:uiPriority w:val="9"/>
    <w:rsid w:val="000150FB"/>
    <w:rPr>
      <w:rFonts w:asciiTheme="majorHAnsi" w:eastAsiaTheme="majorEastAsia" w:hAnsiTheme="majorHAnsi" w:cstheme="majorBidi"/>
      <w:sz w:val="32"/>
      <w:szCs w:val="32"/>
    </w:rPr>
  </w:style>
  <w:style w:type="character" w:customStyle="1" w:styleId="Pealkiri3Mrk">
    <w:name w:val="Pealkiri 3 Märk"/>
    <w:basedOn w:val="Liguvaikefont"/>
    <w:link w:val="Pealkiri3"/>
    <w:uiPriority w:val="9"/>
    <w:rsid w:val="000150FB"/>
    <w:rPr>
      <w:rFonts w:asciiTheme="majorHAnsi" w:eastAsiaTheme="majorEastAsia" w:hAnsiTheme="majorHAnsi" w:cstheme="majorBidi"/>
      <w:sz w:val="32"/>
      <w:szCs w:val="32"/>
    </w:rPr>
  </w:style>
  <w:style w:type="character" w:customStyle="1" w:styleId="Pealkiri4Mrk">
    <w:name w:val="Pealkiri 4 Märk"/>
    <w:basedOn w:val="Liguvaikefont"/>
    <w:link w:val="Pealkiri4"/>
    <w:uiPriority w:val="9"/>
    <w:semiHidden/>
    <w:rsid w:val="000150FB"/>
    <w:rPr>
      <w:rFonts w:asciiTheme="majorHAnsi" w:eastAsiaTheme="majorEastAsia" w:hAnsiTheme="majorHAnsi" w:cstheme="majorBidi"/>
      <w:i/>
      <w:iCs/>
      <w:sz w:val="30"/>
      <w:szCs w:val="30"/>
    </w:rPr>
  </w:style>
  <w:style w:type="character" w:customStyle="1" w:styleId="Pealkiri5Mrk">
    <w:name w:val="Pealkiri 5 Märk"/>
    <w:basedOn w:val="Liguvaikefont"/>
    <w:link w:val="Pealkiri5"/>
    <w:uiPriority w:val="9"/>
    <w:semiHidden/>
    <w:rsid w:val="000150FB"/>
    <w:rPr>
      <w:rFonts w:asciiTheme="majorHAnsi" w:eastAsiaTheme="majorEastAsia" w:hAnsiTheme="majorHAnsi" w:cstheme="majorBidi"/>
      <w:sz w:val="28"/>
      <w:szCs w:val="28"/>
    </w:rPr>
  </w:style>
  <w:style w:type="character" w:customStyle="1" w:styleId="Pealkiri6Mrk">
    <w:name w:val="Pealkiri 6 Märk"/>
    <w:basedOn w:val="Liguvaikefont"/>
    <w:link w:val="Pealkiri6"/>
    <w:uiPriority w:val="9"/>
    <w:semiHidden/>
    <w:rsid w:val="000150FB"/>
    <w:rPr>
      <w:rFonts w:asciiTheme="majorHAnsi" w:eastAsiaTheme="majorEastAsia" w:hAnsiTheme="majorHAnsi" w:cstheme="majorBidi"/>
      <w:i/>
      <w:iCs/>
      <w:sz w:val="26"/>
      <w:szCs w:val="26"/>
    </w:rPr>
  </w:style>
  <w:style w:type="character" w:customStyle="1" w:styleId="Pealkiri7Mrk">
    <w:name w:val="Pealkiri 7 Märk"/>
    <w:basedOn w:val="Liguvaikefont"/>
    <w:link w:val="Pealkiri7"/>
    <w:uiPriority w:val="9"/>
    <w:semiHidden/>
    <w:rsid w:val="000150FB"/>
    <w:rPr>
      <w:rFonts w:asciiTheme="majorHAnsi" w:eastAsiaTheme="majorEastAsia" w:hAnsiTheme="majorHAnsi" w:cstheme="majorBidi"/>
      <w:sz w:val="24"/>
      <w:szCs w:val="24"/>
    </w:rPr>
  </w:style>
  <w:style w:type="character" w:customStyle="1" w:styleId="Pealkiri8Mrk">
    <w:name w:val="Pealkiri 8 Märk"/>
    <w:basedOn w:val="Liguvaikefont"/>
    <w:link w:val="Pealkiri8"/>
    <w:uiPriority w:val="9"/>
    <w:semiHidden/>
    <w:rsid w:val="000150FB"/>
    <w:rPr>
      <w:rFonts w:asciiTheme="majorHAnsi" w:eastAsiaTheme="majorEastAsia" w:hAnsiTheme="majorHAnsi" w:cstheme="majorBidi"/>
      <w:i/>
      <w:iCs/>
      <w:sz w:val="22"/>
      <w:szCs w:val="22"/>
    </w:rPr>
  </w:style>
  <w:style w:type="character" w:customStyle="1" w:styleId="Pealkiri9Mrk">
    <w:name w:val="Pealkiri 9 Märk"/>
    <w:basedOn w:val="Liguvaikefont"/>
    <w:link w:val="Pealkiri9"/>
    <w:uiPriority w:val="9"/>
    <w:semiHidden/>
    <w:rsid w:val="000150FB"/>
    <w:rPr>
      <w:b/>
      <w:bCs/>
      <w:i/>
      <w:iCs/>
    </w:rPr>
  </w:style>
  <w:style w:type="paragraph" w:styleId="Pealdis">
    <w:name w:val="caption"/>
    <w:basedOn w:val="Normaallaad"/>
    <w:next w:val="Normaallaad"/>
    <w:uiPriority w:val="35"/>
    <w:semiHidden/>
    <w:unhideWhenUsed/>
    <w:qFormat/>
    <w:rsid w:val="000150FB"/>
    <w:pPr>
      <w:spacing w:line="240" w:lineRule="auto"/>
    </w:pPr>
    <w:rPr>
      <w:b/>
      <w:bCs/>
      <w:color w:val="404040" w:themeColor="text1" w:themeTint="BF"/>
      <w:sz w:val="16"/>
      <w:szCs w:val="16"/>
    </w:rPr>
  </w:style>
  <w:style w:type="paragraph" w:styleId="Alapealkiri">
    <w:name w:val="Subtitle"/>
    <w:basedOn w:val="Normaallaad"/>
    <w:next w:val="Normaallaad"/>
    <w:link w:val="AlapealkiriMrk"/>
    <w:uiPriority w:val="11"/>
    <w:qFormat/>
    <w:rsid w:val="000150FB"/>
    <w:pPr>
      <w:numPr>
        <w:ilvl w:val="1"/>
      </w:numPr>
      <w:jc w:val="center"/>
    </w:pPr>
    <w:rPr>
      <w:color w:val="387025" w:themeColor="text2"/>
      <w:sz w:val="28"/>
      <w:szCs w:val="28"/>
    </w:rPr>
  </w:style>
  <w:style w:type="character" w:customStyle="1" w:styleId="AlapealkiriMrk">
    <w:name w:val="Alapealkiri Märk"/>
    <w:basedOn w:val="Liguvaikefont"/>
    <w:link w:val="Alapealkiri"/>
    <w:uiPriority w:val="11"/>
    <w:rsid w:val="000150FB"/>
    <w:rPr>
      <w:color w:val="387025" w:themeColor="text2"/>
      <w:sz w:val="28"/>
      <w:szCs w:val="28"/>
    </w:rPr>
  </w:style>
  <w:style w:type="character" w:styleId="Tugev">
    <w:name w:val="Strong"/>
    <w:basedOn w:val="Liguvaikefont"/>
    <w:uiPriority w:val="22"/>
    <w:qFormat/>
    <w:rsid w:val="000150FB"/>
    <w:rPr>
      <w:b/>
      <w:bCs/>
    </w:rPr>
  </w:style>
  <w:style w:type="character" w:styleId="Rhutus">
    <w:name w:val="Emphasis"/>
    <w:basedOn w:val="Liguvaikefont"/>
    <w:uiPriority w:val="20"/>
    <w:qFormat/>
    <w:rsid w:val="000150FB"/>
    <w:rPr>
      <w:i/>
      <w:iCs/>
      <w:color w:val="000000" w:themeColor="text1"/>
    </w:rPr>
  </w:style>
  <w:style w:type="paragraph" w:styleId="Vahedeta">
    <w:name w:val="No Spacing"/>
    <w:uiPriority w:val="1"/>
    <w:qFormat/>
    <w:rsid w:val="000150FB"/>
    <w:pPr>
      <w:spacing w:after="0" w:line="240" w:lineRule="auto"/>
    </w:pPr>
  </w:style>
  <w:style w:type="paragraph" w:styleId="Tsitaat">
    <w:name w:val="Quote"/>
    <w:basedOn w:val="Normaallaad"/>
    <w:next w:val="Normaallaad"/>
    <w:link w:val="TsitaatMrk"/>
    <w:uiPriority w:val="29"/>
    <w:qFormat/>
    <w:rsid w:val="000150FB"/>
    <w:pPr>
      <w:spacing w:before="160"/>
      <w:ind w:left="720" w:right="720"/>
      <w:jc w:val="center"/>
    </w:pPr>
    <w:rPr>
      <w:i/>
      <w:iCs/>
      <w:color w:val="29531B" w:themeColor="accent3" w:themeShade="BF"/>
      <w:sz w:val="24"/>
      <w:szCs w:val="24"/>
    </w:rPr>
  </w:style>
  <w:style w:type="character" w:customStyle="1" w:styleId="TsitaatMrk">
    <w:name w:val="Tsitaat Märk"/>
    <w:basedOn w:val="Liguvaikefont"/>
    <w:link w:val="Tsitaat"/>
    <w:uiPriority w:val="29"/>
    <w:rsid w:val="000150FB"/>
    <w:rPr>
      <w:i/>
      <w:iCs/>
      <w:color w:val="29531B" w:themeColor="accent3" w:themeShade="BF"/>
      <w:sz w:val="24"/>
      <w:szCs w:val="24"/>
    </w:rPr>
  </w:style>
  <w:style w:type="paragraph" w:styleId="Selgeltmrgatavtsitaat">
    <w:name w:val="Intense Quote"/>
    <w:basedOn w:val="Normaallaad"/>
    <w:next w:val="Normaallaad"/>
    <w:link w:val="SelgeltmrgatavtsitaatMrk"/>
    <w:uiPriority w:val="30"/>
    <w:qFormat/>
    <w:rsid w:val="000150FB"/>
    <w:pPr>
      <w:spacing w:before="160" w:line="276" w:lineRule="auto"/>
      <w:ind w:left="936" w:right="936"/>
      <w:jc w:val="center"/>
    </w:pPr>
    <w:rPr>
      <w:rFonts w:asciiTheme="majorHAnsi" w:eastAsiaTheme="majorEastAsia" w:hAnsiTheme="majorHAnsi" w:cstheme="majorBidi"/>
      <w:caps/>
      <w:color w:val="00833B" w:themeColor="accent1" w:themeShade="BF"/>
      <w:sz w:val="28"/>
      <w:szCs w:val="28"/>
    </w:rPr>
  </w:style>
  <w:style w:type="character" w:customStyle="1" w:styleId="SelgeltmrgatavtsitaatMrk">
    <w:name w:val="Selgelt märgatav tsitaat Märk"/>
    <w:basedOn w:val="Liguvaikefont"/>
    <w:link w:val="Selgeltmrgatavtsitaat"/>
    <w:uiPriority w:val="30"/>
    <w:rsid w:val="000150FB"/>
    <w:rPr>
      <w:rFonts w:asciiTheme="majorHAnsi" w:eastAsiaTheme="majorEastAsia" w:hAnsiTheme="majorHAnsi" w:cstheme="majorBidi"/>
      <w:caps/>
      <w:color w:val="00833B" w:themeColor="accent1" w:themeShade="BF"/>
      <w:sz w:val="28"/>
      <w:szCs w:val="28"/>
    </w:rPr>
  </w:style>
  <w:style w:type="character" w:styleId="Vaevumrgatavrhutus">
    <w:name w:val="Subtle Emphasis"/>
    <w:basedOn w:val="Liguvaikefont"/>
    <w:uiPriority w:val="19"/>
    <w:qFormat/>
    <w:rsid w:val="000150FB"/>
    <w:rPr>
      <w:i/>
      <w:iCs/>
      <w:color w:val="595959" w:themeColor="text1" w:themeTint="A6"/>
    </w:rPr>
  </w:style>
  <w:style w:type="character" w:styleId="Selgeltmrgatavrhutus">
    <w:name w:val="Intense Emphasis"/>
    <w:basedOn w:val="Liguvaikefont"/>
    <w:uiPriority w:val="21"/>
    <w:qFormat/>
    <w:rsid w:val="000150FB"/>
    <w:rPr>
      <w:b/>
      <w:bCs/>
      <w:i/>
      <w:iCs/>
      <w:color w:val="auto"/>
    </w:rPr>
  </w:style>
  <w:style w:type="character" w:styleId="Vaevumrgatavviide">
    <w:name w:val="Subtle Reference"/>
    <w:basedOn w:val="Liguvaikefont"/>
    <w:uiPriority w:val="31"/>
    <w:qFormat/>
    <w:rsid w:val="000150FB"/>
    <w:rPr>
      <w:caps w:val="0"/>
      <w:smallCaps/>
      <w:color w:val="404040" w:themeColor="text1" w:themeTint="BF"/>
      <w:spacing w:val="0"/>
      <w:u w:val="single" w:color="7F7F7F" w:themeColor="text1" w:themeTint="80"/>
    </w:rPr>
  </w:style>
  <w:style w:type="character" w:styleId="Selgeltmrgatavviide">
    <w:name w:val="Intense Reference"/>
    <w:basedOn w:val="Liguvaikefont"/>
    <w:uiPriority w:val="32"/>
    <w:qFormat/>
    <w:rsid w:val="000150FB"/>
    <w:rPr>
      <w:b/>
      <w:bCs/>
      <w:caps w:val="0"/>
      <w:smallCaps/>
      <w:color w:val="auto"/>
      <w:spacing w:val="0"/>
      <w:u w:val="single"/>
    </w:rPr>
  </w:style>
  <w:style w:type="character" w:styleId="Raamatupealkiri">
    <w:name w:val="Book Title"/>
    <w:basedOn w:val="Liguvaikefont"/>
    <w:uiPriority w:val="33"/>
    <w:qFormat/>
    <w:rsid w:val="000150FB"/>
    <w:rPr>
      <w:b/>
      <w:bCs/>
      <w:caps w:val="0"/>
      <w:smallCaps/>
      <w:spacing w:val="0"/>
    </w:rPr>
  </w:style>
  <w:style w:type="paragraph" w:styleId="Sisukorrapealkiri">
    <w:name w:val="TOC Heading"/>
    <w:basedOn w:val="Pealkiri1"/>
    <w:next w:val="Normaallaad"/>
    <w:uiPriority w:val="39"/>
    <w:semiHidden/>
    <w:unhideWhenUsed/>
    <w:qFormat/>
    <w:rsid w:val="000150FB"/>
    <w:pPr>
      <w:outlineLvl w:val="9"/>
    </w:pPr>
  </w:style>
  <w:style w:type="paragraph" w:styleId="Pis">
    <w:name w:val="header"/>
    <w:basedOn w:val="Normaallaad"/>
    <w:link w:val="PisMrk"/>
    <w:uiPriority w:val="99"/>
    <w:unhideWhenUsed/>
    <w:rsid w:val="00DD1D04"/>
    <w:pPr>
      <w:tabs>
        <w:tab w:val="center" w:pos="4536"/>
        <w:tab w:val="right" w:pos="9072"/>
      </w:tabs>
      <w:spacing w:after="0" w:line="240" w:lineRule="auto"/>
    </w:pPr>
  </w:style>
  <w:style w:type="character" w:customStyle="1" w:styleId="PisMrk">
    <w:name w:val="Päis Märk"/>
    <w:basedOn w:val="Liguvaikefont"/>
    <w:link w:val="Pis"/>
    <w:uiPriority w:val="99"/>
    <w:rsid w:val="00DD1D04"/>
  </w:style>
  <w:style w:type="paragraph" w:styleId="Jalus">
    <w:name w:val="footer"/>
    <w:basedOn w:val="Normaallaad"/>
    <w:link w:val="JalusMrk"/>
    <w:uiPriority w:val="99"/>
    <w:unhideWhenUsed/>
    <w:rsid w:val="00DD1D04"/>
    <w:pPr>
      <w:tabs>
        <w:tab w:val="center" w:pos="4536"/>
        <w:tab w:val="right" w:pos="9072"/>
      </w:tabs>
      <w:spacing w:after="0" w:line="240" w:lineRule="auto"/>
    </w:pPr>
  </w:style>
  <w:style w:type="character" w:customStyle="1" w:styleId="JalusMrk">
    <w:name w:val="Jalus Märk"/>
    <w:basedOn w:val="Liguvaikefont"/>
    <w:link w:val="Jalus"/>
    <w:uiPriority w:val="99"/>
    <w:rsid w:val="00DD1D04"/>
  </w:style>
  <w:style w:type="paragraph" w:styleId="Loendilik">
    <w:name w:val="List Paragraph"/>
    <w:basedOn w:val="Normaallaad"/>
    <w:uiPriority w:val="34"/>
    <w:qFormat/>
    <w:rsid w:val="00F02549"/>
    <w:pPr>
      <w:ind w:left="720"/>
      <w:contextualSpacing/>
    </w:pPr>
  </w:style>
  <w:style w:type="table" w:styleId="Kontuurtabel">
    <w:name w:val="Table Grid"/>
    <w:basedOn w:val="Normaaltabel"/>
    <w:uiPriority w:val="39"/>
    <w:rsid w:val="001F10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ariviide">
    <w:name w:val="annotation reference"/>
    <w:basedOn w:val="Liguvaikefont"/>
    <w:uiPriority w:val="99"/>
    <w:semiHidden/>
    <w:unhideWhenUsed/>
    <w:rsid w:val="00DC39F2"/>
    <w:rPr>
      <w:sz w:val="16"/>
      <w:szCs w:val="16"/>
    </w:rPr>
  </w:style>
  <w:style w:type="paragraph" w:styleId="Kommentaaritekst">
    <w:name w:val="annotation text"/>
    <w:basedOn w:val="Normaallaad"/>
    <w:link w:val="KommentaaritekstMrk"/>
    <w:uiPriority w:val="99"/>
    <w:semiHidden/>
    <w:unhideWhenUsed/>
    <w:rsid w:val="00DC39F2"/>
    <w:pPr>
      <w:spacing w:line="240" w:lineRule="auto"/>
    </w:pPr>
  </w:style>
  <w:style w:type="character" w:customStyle="1" w:styleId="KommentaaritekstMrk">
    <w:name w:val="Kommentaari tekst Märk"/>
    <w:basedOn w:val="Liguvaikefont"/>
    <w:link w:val="Kommentaaritekst"/>
    <w:uiPriority w:val="99"/>
    <w:semiHidden/>
    <w:rsid w:val="00DC39F2"/>
  </w:style>
  <w:style w:type="paragraph" w:styleId="Kommentaariteema">
    <w:name w:val="annotation subject"/>
    <w:basedOn w:val="Kommentaaritekst"/>
    <w:next w:val="Kommentaaritekst"/>
    <w:link w:val="KommentaariteemaMrk"/>
    <w:uiPriority w:val="99"/>
    <w:semiHidden/>
    <w:unhideWhenUsed/>
    <w:rsid w:val="00DC39F2"/>
    <w:rPr>
      <w:b/>
      <w:bCs/>
    </w:rPr>
  </w:style>
  <w:style w:type="character" w:customStyle="1" w:styleId="KommentaariteemaMrk">
    <w:name w:val="Kommentaari teema Märk"/>
    <w:basedOn w:val="KommentaaritekstMrk"/>
    <w:link w:val="Kommentaariteema"/>
    <w:uiPriority w:val="99"/>
    <w:semiHidden/>
    <w:rsid w:val="00DC39F2"/>
    <w:rPr>
      <w:b/>
      <w:bCs/>
    </w:rPr>
  </w:style>
  <w:style w:type="paragraph" w:styleId="Jutumullitekst">
    <w:name w:val="Balloon Text"/>
    <w:basedOn w:val="Normaallaad"/>
    <w:link w:val="JutumullitekstMrk"/>
    <w:uiPriority w:val="99"/>
    <w:semiHidden/>
    <w:unhideWhenUsed/>
    <w:rsid w:val="00DC39F2"/>
    <w:pPr>
      <w:spacing w:after="0" w:line="240" w:lineRule="auto"/>
    </w:pPr>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DC39F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i kujundus">
  <a:themeElements>
    <a:clrScheme name="Kohandatud 1">
      <a:dk1>
        <a:sysClr val="windowText" lastClr="000000"/>
      </a:dk1>
      <a:lt1>
        <a:sysClr val="window" lastClr="FFFFFF"/>
      </a:lt1>
      <a:dk2>
        <a:srgbClr val="387025"/>
      </a:dk2>
      <a:lt2>
        <a:srgbClr val="BCFFDA"/>
      </a:lt2>
      <a:accent1>
        <a:srgbClr val="00B050"/>
      </a:accent1>
      <a:accent2>
        <a:srgbClr val="92D050"/>
      </a:accent2>
      <a:accent3>
        <a:srgbClr val="387025"/>
      </a:accent3>
      <a:accent4>
        <a:srgbClr val="0B9B74"/>
      </a:accent4>
      <a:accent5>
        <a:srgbClr val="7CCA62"/>
      </a:accent5>
      <a:accent6>
        <a:srgbClr val="A5C249"/>
      </a:accent6>
      <a:hlink>
        <a:srgbClr val="7CCA62"/>
      </a:hlink>
      <a:folHlink>
        <a:srgbClr val="7CCA6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BD8801-EB2D-43BE-AA7B-F6E08997D4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409</TotalTime>
  <Pages>1</Pages>
  <Words>1398</Words>
  <Characters>8110</Characters>
  <Application>Microsoft Office Word</Application>
  <DocSecurity>0</DocSecurity>
  <Lines>67</Lines>
  <Paragraphs>18</Paragraphs>
  <ScaleCrop>false</ScaleCrop>
  <HeadingPairs>
    <vt:vector size="4" baseType="variant">
      <vt:variant>
        <vt:lpstr>Pealkiri</vt:lpstr>
      </vt:variant>
      <vt:variant>
        <vt:i4>1</vt:i4>
      </vt:variant>
      <vt:variant>
        <vt:lpstr>Tiitel</vt:lpstr>
      </vt:variant>
      <vt:variant>
        <vt:i4>1</vt:i4>
      </vt:variant>
    </vt:vector>
  </HeadingPairs>
  <TitlesOfParts>
    <vt:vector size="2" baseType="lpstr">
      <vt:lpstr/>
      <vt:lpstr/>
    </vt:vector>
  </TitlesOfParts>
  <Company/>
  <LinksUpToDate>false</LinksUpToDate>
  <CharactersWithSpaces>9490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Lenna Hingla</dc:creator>
  <cp:lastModifiedBy>Lenna Hingla</cp:lastModifiedBy>
  <cp:revision>20</cp:revision>
  <dcterms:created xsi:type="dcterms:W3CDTF">2018-11-30T06:44:00Z</dcterms:created>
  <dcterms:modified xsi:type="dcterms:W3CDTF">2019-06-21T08:25:00Z</dcterms:modified>
</cp:coreProperties>
</file>